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inorBidi"/>
          <w:sz w:val="44"/>
          <w:szCs w:val="28"/>
        </w:rPr>
      </w:pPr>
      <w:bookmarkStart w:id="0" w:name="_GoBack"/>
      <w:r>
        <w:rPr>
          <w:rFonts w:hint="eastAsia" w:ascii="黑体" w:hAnsi="黑体" w:eastAsia="黑体" w:cstheme="minorBidi"/>
          <w:sz w:val="44"/>
          <w:szCs w:val="28"/>
        </w:rPr>
        <w:t>2021年度尉氏县贾鲁河开发管理中心部门预算公开</w:t>
      </w:r>
    </w:p>
    <w:bookmarkEnd w:id="0"/>
    <w:p>
      <w:pPr>
        <w:jc w:val="center"/>
        <w:rPr>
          <w:rFonts w:ascii="黑体" w:hAnsi="黑体" w:eastAsia="黑体" w:cstheme="minorBidi"/>
          <w:sz w:val="36"/>
          <w:szCs w:val="36"/>
        </w:rPr>
      </w:pPr>
    </w:p>
    <w:p>
      <w:pPr>
        <w:jc w:val="center"/>
        <w:rPr>
          <w:rFonts w:ascii="黑体" w:hAnsi="黑体" w:eastAsia="黑体" w:cstheme="minorBidi"/>
          <w:b/>
          <w:color w:val="000000" w:themeColor="text1"/>
          <w:sz w:val="44"/>
          <w:szCs w:val="44"/>
          <w14:textFill>
            <w14:solidFill>
              <w14:schemeClr w14:val="tx1"/>
            </w14:solidFill>
          </w14:textFill>
        </w:rPr>
      </w:pPr>
      <w:r>
        <w:rPr>
          <w:rFonts w:hint="eastAsia" w:ascii="黑体" w:hAnsi="黑体" w:eastAsia="黑体" w:cstheme="minorBidi"/>
          <w:b/>
          <w:color w:val="000000" w:themeColor="text1"/>
          <w:sz w:val="44"/>
          <w:szCs w:val="44"/>
          <w14:textFill>
            <w14:solidFill>
              <w14:schemeClr w14:val="tx1"/>
            </w14:solidFill>
          </w14:textFill>
        </w:rPr>
        <w:t>目 录</w:t>
      </w:r>
    </w:p>
    <w:p>
      <w:pPr>
        <w:rPr>
          <w:rFonts w:ascii="仿宋" w:hAnsi="仿宋" w:eastAsia="仿宋" w:cstheme="minorBidi"/>
          <w:b/>
          <w:color w:val="000000" w:themeColor="text1"/>
          <w:sz w:val="32"/>
          <w:szCs w:val="32"/>
          <w14:textFill>
            <w14:solidFill>
              <w14:schemeClr w14:val="tx1"/>
            </w14:solidFill>
          </w14:textFill>
        </w:rPr>
      </w:pPr>
      <w:r>
        <w:rPr>
          <w:rFonts w:hint="eastAsia" w:ascii="仿宋" w:hAnsi="仿宋" w:eastAsia="仿宋" w:cstheme="minorBidi"/>
          <w:b/>
          <w:color w:val="000000" w:themeColor="text1"/>
          <w:sz w:val="32"/>
          <w:szCs w:val="32"/>
          <w14:textFill>
            <w14:solidFill>
              <w14:schemeClr w14:val="tx1"/>
            </w14:solidFill>
          </w14:textFill>
        </w:rPr>
        <w:t xml:space="preserve">第一部分  尉氏县贾鲁河开发管理中心概况 </w:t>
      </w:r>
    </w:p>
    <w:p>
      <w:pPr>
        <w:ind w:firstLine="320" w:firstLineChars="10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一、主要职能</w:t>
      </w:r>
    </w:p>
    <w:p>
      <w:pPr>
        <w:pStyle w:val="2"/>
        <w:kinsoku w:val="0"/>
        <w:overflowPunct w:val="0"/>
        <w:snapToGrid w:val="0"/>
        <w:spacing w:line="360" w:lineRule="auto"/>
        <w:ind w:left="0" w:right="118" w:firstLine="320" w:firstLineChars="100"/>
        <w:rPr>
          <w:rFonts w:ascii="仿宋" w:hAnsi="仿宋" w:eastAsia="仿宋" w:cs="Courier New"/>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二、部门预算单位构成</w:t>
      </w:r>
    </w:p>
    <w:p>
      <w:pPr>
        <w:rPr>
          <w:rFonts w:ascii="仿宋" w:hAnsi="仿宋" w:eastAsia="仿宋" w:cstheme="minorBidi"/>
          <w:b/>
          <w:sz w:val="32"/>
          <w:szCs w:val="32"/>
        </w:rPr>
      </w:pPr>
      <w:r>
        <w:rPr>
          <w:rFonts w:hint="eastAsia" w:ascii="仿宋" w:hAnsi="仿宋" w:eastAsia="仿宋" w:cstheme="minorBidi"/>
          <w:b/>
          <w:sz w:val="32"/>
          <w:szCs w:val="32"/>
        </w:rPr>
        <w:t xml:space="preserve">第二部分  </w:t>
      </w:r>
      <w:r>
        <w:rPr>
          <w:rFonts w:hint="eastAsia" w:ascii="仿宋" w:hAnsi="仿宋" w:eastAsia="仿宋" w:cstheme="minorBidi"/>
          <w:b/>
          <w:color w:val="000000" w:themeColor="text1"/>
          <w:sz w:val="32"/>
          <w:szCs w:val="32"/>
          <w14:textFill>
            <w14:solidFill>
              <w14:schemeClr w14:val="tx1"/>
            </w14:solidFill>
          </w14:textFill>
        </w:rPr>
        <w:t>贾鲁河开发管理中心</w:t>
      </w:r>
      <w:r>
        <w:rPr>
          <w:rFonts w:hint="eastAsia" w:ascii="仿宋" w:hAnsi="仿宋" w:eastAsia="仿宋" w:cstheme="minorBidi"/>
          <w:b/>
          <w:sz w:val="32"/>
          <w:szCs w:val="32"/>
        </w:rPr>
        <w:t>2021年度部门预算情况说明</w:t>
      </w:r>
    </w:p>
    <w:p>
      <w:pPr>
        <w:rPr>
          <w:rFonts w:ascii="仿宋" w:hAnsi="仿宋" w:eastAsia="仿宋"/>
          <w:sz w:val="32"/>
          <w:szCs w:val="32"/>
        </w:rPr>
      </w:pPr>
      <w:r>
        <w:rPr>
          <w:rFonts w:hint="eastAsia" w:ascii="仿宋" w:hAnsi="仿宋" w:eastAsia="仿宋" w:cstheme="minorBidi"/>
          <w:b/>
          <w:sz w:val="32"/>
          <w:szCs w:val="32"/>
        </w:rPr>
        <w:t>第三部分  名词解释</w:t>
      </w:r>
    </w:p>
    <w:p>
      <w:pPr>
        <w:adjustRightInd w:val="0"/>
        <w:snapToGrid w:val="0"/>
        <w:spacing w:line="360" w:lineRule="auto"/>
        <w:rPr>
          <w:rFonts w:ascii="仿宋" w:hAnsi="仿宋" w:eastAsia="仿宋"/>
          <w:b/>
          <w:sz w:val="32"/>
          <w:szCs w:val="32"/>
        </w:rPr>
      </w:pPr>
      <w:r>
        <w:rPr>
          <w:rFonts w:hint="eastAsia" w:ascii="仿宋" w:hAnsi="仿宋" w:eastAsia="仿宋"/>
          <w:b/>
          <w:sz w:val="32"/>
          <w:szCs w:val="32"/>
        </w:rPr>
        <w:t>附件：尉氏县贾鲁河开发管理中心2021年度部门预算表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一、</w:t>
      </w:r>
      <w:r>
        <w:rPr>
          <w:rFonts w:hint="eastAsia" w:ascii="仿宋" w:hAnsi="仿宋" w:eastAsia="仿宋"/>
          <w:sz w:val="32"/>
          <w:szCs w:val="32"/>
        </w:rPr>
        <w:t>部门收支总体情况表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sz w:val="32"/>
          <w:szCs w:val="32"/>
        </w:rPr>
        <w:t>部门收入总体情况表</w:t>
      </w:r>
    </w:p>
    <w:p>
      <w:pPr>
        <w:kinsoku w:val="0"/>
        <w:overflowPunct w:val="0"/>
        <w:adjustRightInd w:val="0"/>
        <w:snapToGrid w:val="0"/>
        <w:spacing w:line="360" w:lineRule="auto"/>
        <w:ind w:right="51" w:firstLine="960" w:firstLineChars="300"/>
        <w:jc w:val="left"/>
        <w:rPr>
          <w:rFonts w:ascii="仿宋" w:hAnsi="仿宋" w:eastAsia="仿宋"/>
          <w:sz w:val="32"/>
          <w:szCs w:val="32"/>
        </w:rPr>
      </w:pPr>
      <w:r>
        <w:rPr>
          <w:rFonts w:hint="eastAsia" w:ascii="仿宋" w:hAnsi="仿宋" w:eastAsia="仿宋" w:cs="仿宋_GB2312"/>
          <w:sz w:val="32"/>
          <w:szCs w:val="32"/>
        </w:rPr>
        <w:t>三、</w:t>
      </w:r>
      <w:r>
        <w:rPr>
          <w:rFonts w:hint="eastAsia" w:ascii="仿宋" w:hAnsi="仿宋" w:eastAsia="仿宋"/>
          <w:sz w:val="32"/>
          <w:szCs w:val="32"/>
        </w:rPr>
        <w:t>财政拨款收支总体情况表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四、</w:t>
      </w:r>
      <w:r>
        <w:rPr>
          <w:rFonts w:hint="eastAsia" w:ascii="仿宋" w:hAnsi="仿宋" w:eastAsia="仿宋"/>
          <w:sz w:val="32"/>
          <w:szCs w:val="32"/>
        </w:rPr>
        <w:t>部门支出总体情况表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五、</w:t>
      </w:r>
      <w:r>
        <w:rPr>
          <w:rFonts w:hint="eastAsia" w:ascii="仿宋" w:hAnsi="仿宋" w:eastAsia="仿宋"/>
          <w:sz w:val="32"/>
          <w:szCs w:val="32"/>
        </w:rPr>
        <w:t>一般公共预算支出情况表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六、</w:t>
      </w:r>
      <w:r>
        <w:rPr>
          <w:rFonts w:hint="eastAsia" w:ascii="仿宋" w:hAnsi="仿宋" w:eastAsia="仿宋"/>
          <w:sz w:val="32"/>
          <w:szCs w:val="32"/>
        </w:rPr>
        <w:t>支出经济分类汇总表</w:t>
      </w:r>
    </w:p>
    <w:p>
      <w:pPr>
        <w:kinsoku w:val="0"/>
        <w:overflowPunct w:val="0"/>
        <w:adjustRightInd w:val="0"/>
        <w:snapToGrid w:val="0"/>
        <w:spacing w:line="360" w:lineRule="auto"/>
        <w:ind w:right="51" w:firstLine="960" w:firstLineChars="300"/>
        <w:jc w:val="left"/>
        <w:rPr>
          <w:rFonts w:ascii="仿宋" w:hAnsi="仿宋" w:eastAsia="仿宋"/>
          <w:sz w:val="32"/>
          <w:szCs w:val="32"/>
        </w:rPr>
      </w:pPr>
      <w:r>
        <w:rPr>
          <w:rFonts w:hint="eastAsia" w:ascii="仿宋" w:hAnsi="仿宋" w:eastAsia="仿宋" w:cs="仿宋_GB2312"/>
          <w:sz w:val="32"/>
          <w:szCs w:val="32"/>
        </w:rPr>
        <w:t>七、</w:t>
      </w:r>
      <w:r>
        <w:rPr>
          <w:rFonts w:hint="eastAsia" w:ascii="仿宋" w:hAnsi="仿宋" w:eastAsia="仿宋"/>
          <w:sz w:val="32"/>
          <w:szCs w:val="32"/>
        </w:rPr>
        <w:t>一般公共预算基本支出经济分类款级科目表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八、</w:t>
      </w:r>
      <w:r>
        <w:rPr>
          <w:rFonts w:hint="eastAsia" w:ascii="仿宋" w:hAnsi="仿宋" w:eastAsia="仿宋"/>
          <w:sz w:val="32"/>
          <w:szCs w:val="32"/>
        </w:rPr>
        <w:t>一般公共预算“三公”经费支出情况表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sz w:val="32"/>
          <w:szCs w:val="32"/>
        </w:rPr>
        <w:t>九、政府性基金预算支出情况表</w:t>
      </w:r>
    </w:p>
    <w:p>
      <w:pPr>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  十、部门（单位）整体绩效目标表</w:t>
      </w:r>
    </w:p>
    <w:p>
      <w:pPr>
        <w:adjustRightInd w:val="0"/>
        <w:snapToGrid w:val="0"/>
        <w:spacing w:line="360" w:lineRule="auto"/>
        <w:ind w:firstLine="960" w:firstLineChars="300"/>
        <w:jc w:val="left"/>
        <w:rPr>
          <w:rFonts w:ascii="仿宋" w:hAnsi="仿宋" w:eastAsia="仿宋"/>
          <w:sz w:val="32"/>
          <w:szCs w:val="32"/>
        </w:rPr>
      </w:pPr>
      <w:r>
        <w:rPr>
          <w:rFonts w:hint="eastAsia" w:ascii="仿宋" w:hAnsi="仿宋" w:eastAsia="仿宋"/>
          <w:sz w:val="32"/>
          <w:szCs w:val="32"/>
        </w:rPr>
        <w:t>十一、部门预算项目绩效目标汇总表</w:t>
      </w: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b/>
          <w:sz w:val="32"/>
          <w:szCs w:val="32"/>
        </w:rPr>
      </w:pPr>
      <w:r>
        <w:rPr>
          <w:rFonts w:hint="eastAsia" w:ascii="仿宋" w:hAnsi="仿宋" w:eastAsia="仿宋"/>
          <w:b/>
          <w:sz w:val="32"/>
          <w:szCs w:val="32"/>
        </w:rPr>
        <w:t>第一部分</w:t>
      </w:r>
    </w:p>
    <w:p>
      <w:pPr>
        <w:jc w:val="center"/>
        <w:rPr>
          <w:rFonts w:ascii="仿宋" w:hAnsi="仿宋" w:eastAsia="仿宋"/>
          <w:b/>
          <w:sz w:val="32"/>
          <w:szCs w:val="32"/>
        </w:rPr>
      </w:pPr>
      <w:r>
        <w:rPr>
          <w:rFonts w:hint="eastAsia" w:ascii="仿宋" w:hAnsi="仿宋" w:eastAsia="仿宋" w:cstheme="minorBidi"/>
          <w:b/>
          <w:color w:val="000000" w:themeColor="text1"/>
          <w:sz w:val="32"/>
          <w:szCs w:val="32"/>
          <w14:textFill>
            <w14:solidFill>
              <w14:schemeClr w14:val="tx1"/>
            </w14:solidFill>
          </w14:textFill>
        </w:rPr>
        <w:t>尉氏县贾鲁河开发管理中心</w:t>
      </w:r>
      <w:r>
        <w:rPr>
          <w:rFonts w:hint="eastAsia" w:ascii="仿宋" w:hAnsi="仿宋" w:eastAsia="仿宋"/>
          <w:b/>
          <w:sz w:val="32"/>
          <w:szCs w:val="32"/>
        </w:rPr>
        <w:t>概况</w:t>
      </w:r>
    </w:p>
    <w:p>
      <w:pPr>
        <w:ind w:firstLine="321" w:firstLineChars="100"/>
        <w:rPr>
          <w:rFonts w:ascii="仿宋" w:hAnsi="仿宋" w:eastAsia="仿宋"/>
          <w:b/>
          <w:sz w:val="32"/>
          <w:szCs w:val="32"/>
        </w:rPr>
      </w:pPr>
      <w:r>
        <w:rPr>
          <w:rFonts w:hint="eastAsia" w:ascii="仿宋" w:hAnsi="仿宋" w:eastAsia="仿宋"/>
          <w:b/>
          <w:sz w:val="32"/>
          <w:szCs w:val="32"/>
        </w:rPr>
        <w:t>一、尉氏县贾鲁河开发管理中心</w:t>
      </w:r>
      <w:r>
        <w:rPr>
          <w:rFonts w:hint="eastAsia" w:ascii="仿宋" w:hAnsi="仿宋" w:eastAsia="仿宋" w:cstheme="minorBidi"/>
          <w:b/>
          <w:color w:val="000000" w:themeColor="text1"/>
          <w:sz w:val="32"/>
          <w:szCs w:val="32"/>
          <w14:textFill>
            <w14:solidFill>
              <w14:schemeClr w14:val="tx1"/>
            </w14:solidFill>
          </w14:textFill>
        </w:rPr>
        <w:t>主要职能</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Courier New"/>
          <w:sz w:val="32"/>
          <w:szCs w:val="32"/>
        </w:rPr>
        <w:t>尉氏县贾鲁河开发管理中心主要职责是：负责全县鱼鸭混养开发与服务,使全县鱼鸭混养生产上规模、上水平、上效益,促进农村经济快速、健康发展。</w:t>
      </w:r>
    </w:p>
    <w:p>
      <w:pPr>
        <w:pStyle w:val="2"/>
        <w:kinsoku w:val="0"/>
        <w:overflowPunct w:val="0"/>
        <w:snapToGrid w:val="0"/>
        <w:spacing w:line="360" w:lineRule="auto"/>
        <w:ind w:left="0" w:right="118"/>
        <w:rPr>
          <w:rFonts w:ascii="仿宋" w:hAnsi="仿宋" w:eastAsia="仿宋" w:cs="Courier New"/>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二、</w:t>
      </w:r>
      <w:r>
        <w:rPr>
          <w:rFonts w:hint="eastAsia" w:ascii="仿宋" w:hAnsi="仿宋" w:eastAsia="仿宋" w:cs="黑体"/>
        </w:rPr>
        <w:t>机构设置</w:t>
      </w:r>
    </w:p>
    <w:p>
      <w:pPr>
        <w:widowControl/>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部门内设机构1个，包括：办公室。</w:t>
      </w:r>
    </w:p>
    <w:p>
      <w:pPr>
        <w:widowControl/>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贾鲁河开发管理中心无所属归口预算管理单位</w:t>
      </w:r>
      <w:r>
        <w:rPr>
          <w:rFonts w:hint="eastAsia" w:ascii="仿宋" w:hAnsi="仿宋" w:eastAsia="仿宋" w:cs="宋体"/>
          <w:kern w:val="0"/>
          <w:sz w:val="32"/>
          <w:szCs w:val="32"/>
        </w:rPr>
        <w:t>，</w:t>
      </w:r>
      <w:r>
        <w:rPr>
          <w:rFonts w:hint="eastAsia" w:ascii="仿宋" w:hAnsi="仿宋" w:eastAsia="仿宋" w:cs="仿宋_GB2312"/>
          <w:kern w:val="0"/>
          <w:sz w:val="32"/>
          <w:szCs w:val="32"/>
        </w:rPr>
        <w:t>贾鲁河开发管理中心</w:t>
      </w:r>
      <w:r>
        <w:rPr>
          <w:rFonts w:hint="eastAsia" w:ascii="仿宋" w:hAnsi="仿宋" w:eastAsia="仿宋" w:cs="仿宋_GB2312"/>
          <w:spacing w:val="2"/>
          <w:kern w:val="0"/>
          <w:sz w:val="32"/>
          <w:szCs w:val="32"/>
        </w:rPr>
        <w:t>部门</w:t>
      </w:r>
      <w:r>
        <w:rPr>
          <w:rFonts w:hint="eastAsia" w:ascii="仿宋" w:hAnsi="仿宋" w:eastAsia="仿宋" w:cs="仿宋_GB2312"/>
          <w:kern w:val="0"/>
          <w:sz w:val="32"/>
          <w:szCs w:val="32"/>
        </w:rPr>
        <w:t>预算为</w:t>
      </w:r>
      <w:r>
        <w:rPr>
          <w:rFonts w:hint="eastAsia" w:ascii="仿宋" w:hAnsi="仿宋" w:eastAsia="仿宋" w:cs="仿宋_GB2312"/>
          <w:kern w:val="0"/>
          <w:sz w:val="32"/>
          <w:szCs w:val="32"/>
          <w:lang w:eastAsia="zh-CN"/>
        </w:rPr>
        <w:t>中心</w:t>
      </w:r>
      <w:r>
        <w:rPr>
          <w:rFonts w:hint="eastAsia" w:ascii="仿宋" w:hAnsi="仿宋" w:eastAsia="仿宋" w:cs="仿宋_GB2312"/>
          <w:spacing w:val="2"/>
          <w:kern w:val="0"/>
          <w:sz w:val="32"/>
          <w:szCs w:val="32"/>
        </w:rPr>
        <w:t>本级</w:t>
      </w:r>
      <w:r>
        <w:rPr>
          <w:rFonts w:hint="eastAsia" w:ascii="仿宋" w:hAnsi="仿宋" w:eastAsia="仿宋" w:cs="仿宋_GB2312"/>
          <w:spacing w:val="-1"/>
          <w:kern w:val="0"/>
          <w:sz w:val="32"/>
          <w:szCs w:val="32"/>
        </w:rPr>
        <w:t>预算</w:t>
      </w:r>
    </w:p>
    <w:p>
      <w:pPr>
        <w:pStyle w:val="2"/>
        <w:kinsoku w:val="0"/>
        <w:overflowPunct w:val="0"/>
        <w:snapToGrid w:val="0"/>
        <w:spacing w:line="360" w:lineRule="auto"/>
        <w:ind w:left="80" w:leftChars="38" w:right="118" w:firstLine="675" w:firstLineChars="211"/>
        <w:rPr>
          <w:rFonts w:ascii="仿宋" w:hAnsi="仿宋" w:eastAsia="仿宋"/>
          <w:spacing w:val="2"/>
        </w:rPr>
      </w:pPr>
      <w:r>
        <w:rPr>
          <w:rFonts w:hint="eastAsia" w:ascii="仿宋" w:hAnsi="仿宋" w:eastAsia="仿宋"/>
        </w:rPr>
        <w:t>1.</w:t>
      </w:r>
      <w:r>
        <w:rPr>
          <w:rFonts w:hint="eastAsia" w:ascii="仿宋" w:hAnsi="仿宋" w:eastAsia="仿宋"/>
          <w:spacing w:val="2"/>
        </w:rPr>
        <w:t xml:space="preserve"> 机关本级</w:t>
      </w:r>
      <w:r>
        <w:rPr>
          <w:rFonts w:hint="eastAsia" w:ascii="仿宋" w:hAnsi="仿宋" w:eastAsia="仿宋"/>
          <w:spacing w:val="-1"/>
        </w:rPr>
        <w:t>决算</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第二部分</w:t>
      </w:r>
    </w:p>
    <w:p>
      <w:pPr>
        <w:jc w:val="center"/>
        <w:rPr>
          <w:rFonts w:ascii="仿宋" w:hAnsi="仿宋" w:eastAsia="仿宋"/>
          <w:b/>
          <w:sz w:val="32"/>
          <w:szCs w:val="32"/>
        </w:rPr>
      </w:pPr>
      <w:r>
        <w:rPr>
          <w:rFonts w:hint="eastAsia" w:ascii="仿宋" w:hAnsi="仿宋" w:eastAsia="仿宋"/>
          <w:b/>
          <w:sz w:val="32"/>
          <w:szCs w:val="32"/>
        </w:rPr>
        <w:t>尉氏县贾鲁河开发管理中心2021年度部门预算情况说明</w:t>
      </w:r>
    </w:p>
    <w:p>
      <w:pPr>
        <w:rPr>
          <w:rFonts w:ascii="仿宋" w:hAnsi="仿宋" w:eastAsia="仿宋"/>
          <w:b/>
          <w:sz w:val="32"/>
          <w:szCs w:val="32"/>
        </w:rPr>
      </w:pPr>
      <w:r>
        <w:rPr>
          <w:rFonts w:hint="eastAsia" w:ascii="仿宋" w:hAnsi="仿宋" w:eastAsia="仿宋"/>
          <w:b/>
          <w:sz w:val="32"/>
          <w:szCs w:val="32"/>
        </w:rPr>
        <w:t>一、收入支出预算总体情况说明</w:t>
      </w:r>
    </w:p>
    <w:p>
      <w:pPr>
        <w:ind w:firstLine="640" w:firstLineChars="200"/>
        <w:rPr>
          <w:rFonts w:ascii="仿宋" w:hAnsi="仿宋" w:eastAsia="仿宋"/>
          <w:sz w:val="32"/>
          <w:szCs w:val="32"/>
        </w:rPr>
      </w:pPr>
      <w:r>
        <w:rPr>
          <w:rFonts w:hint="eastAsia" w:ascii="仿宋" w:hAnsi="仿宋" w:eastAsia="仿宋" w:cs="Courier New"/>
          <w:sz w:val="32"/>
          <w:szCs w:val="32"/>
        </w:rPr>
        <w:t>尉氏县贾鲁河开发管理中心2021年收入总计12.1</w:t>
      </w:r>
      <w:r>
        <w:rPr>
          <w:rFonts w:ascii="仿宋" w:hAnsi="仿宋" w:eastAsia="仿宋" w:cs="Courier New"/>
          <w:sz w:val="32"/>
          <w:szCs w:val="32"/>
        </w:rPr>
        <w:t>8</w:t>
      </w:r>
      <w:r>
        <w:rPr>
          <w:rFonts w:hint="eastAsia" w:ascii="仿宋" w:hAnsi="仿宋" w:eastAsia="仿宋" w:cs="Courier New"/>
          <w:sz w:val="32"/>
          <w:szCs w:val="32"/>
        </w:rPr>
        <w:t>万元，支出总计12.1</w:t>
      </w:r>
      <w:r>
        <w:rPr>
          <w:rFonts w:ascii="仿宋" w:hAnsi="仿宋" w:eastAsia="仿宋" w:cs="Courier New"/>
          <w:sz w:val="32"/>
          <w:szCs w:val="32"/>
        </w:rPr>
        <w:t>8</w:t>
      </w:r>
      <w:r>
        <w:rPr>
          <w:rFonts w:hint="eastAsia" w:ascii="仿宋" w:hAnsi="仿宋" w:eastAsia="仿宋" w:cs="Courier New"/>
          <w:sz w:val="32"/>
          <w:szCs w:val="32"/>
        </w:rPr>
        <w:t>元，与2020年相比，收、支总计各增加0.56万，增长4.83%。主要原因：工资正常晋升及社保缴费基数调整，导致工资及社保费用增加。</w:t>
      </w:r>
    </w:p>
    <w:p>
      <w:pPr>
        <w:rPr>
          <w:rFonts w:ascii="仿宋" w:hAnsi="仿宋" w:eastAsia="仿宋"/>
          <w:b/>
          <w:sz w:val="32"/>
          <w:szCs w:val="32"/>
        </w:rPr>
      </w:pPr>
      <w:r>
        <w:rPr>
          <w:rFonts w:hint="eastAsia" w:ascii="仿宋" w:hAnsi="仿宋" w:eastAsia="仿宋"/>
          <w:b/>
          <w:sz w:val="32"/>
          <w:szCs w:val="32"/>
        </w:rPr>
        <w:t>二、收入预算总体情况说明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尉氏县贾鲁河开发管理中心2021年收入合计12.1</w:t>
      </w:r>
      <w:r>
        <w:rPr>
          <w:rFonts w:ascii="仿宋" w:hAnsi="仿宋" w:eastAsia="仿宋" w:cs="Courier New"/>
          <w:sz w:val="32"/>
          <w:szCs w:val="32"/>
        </w:rPr>
        <w:t>8</w:t>
      </w:r>
      <w:r>
        <w:rPr>
          <w:rFonts w:hint="eastAsia" w:ascii="仿宋" w:hAnsi="仿宋" w:eastAsia="仿宋" w:cs="Courier New"/>
          <w:sz w:val="32"/>
          <w:szCs w:val="32"/>
        </w:rPr>
        <w:t>万元，其中：一般公共预算12.1</w:t>
      </w:r>
      <w:r>
        <w:rPr>
          <w:rFonts w:ascii="仿宋" w:hAnsi="仿宋" w:eastAsia="仿宋" w:cs="Courier New"/>
          <w:sz w:val="32"/>
          <w:szCs w:val="32"/>
        </w:rPr>
        <w:t>8</w:t>
      </w:r>
      <w:r>
        <w:rPr>
          <w:rFonts w:hint="eastAsia" w:ascii="仿宋" w:hAnsi="仿宋" w:eastAsia="仿宋" w:cs="Courier New"/>
          <w:sz w:val="32"/>
          <w:szCs w:val="32"/>
        </w:rPr>
        <w:t>万元；政府性基金收入0万元;缴入国库的行政性收费0万元。</w:t>
      </w:r>
    </w:p>
    <w:p>
      <w:pPr>
        <w:rPr>
          <w:rFonts w:ascii="仿宋" w:hAnsi="仿宋" w:eastAsia="仿宋"/>
          <w:b/>
          <w:sz w:val="32"/>
          <w:szCs w:val="32"/>
        </w:rPr>
      </w:pPr>
      <w:r>
        <w:rPr>
          <w:rFonts w:hint="eastAsia" w:ascii="仿宋" w:hAnsi="仿宋" w:eastAsia="仿宋"/>
          <w:b/>
          <w:sz w:val="32"/>
          <w:szCs w:val="32"/>
        </w:rPr>
        <w:t>三、支出预算总体情况说明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尉氏县贾鲁河开发管理中心2021年支出合计12.1</w:t>
      </w:r>
      <w:r>
        <w:rPr>
          <w:rFonts w:ascii="仿宋" w:hAnsi="仿宋" w:eastAsia="仿宋" w:cs="Courier New"/>
          <w:sz w:val="32"/>
          <w:szCs w:val="32"/>
        </w:rPr>
        <w:t>8</w:t>
      </w:r>
      <w:r>
        <w:rPr>
          <w:rFonts w:hint="eastAsia" w:ascii="仿宋" w:hAnsi="仿宋" w:eastAsia="仿宋" w:cs="Courier New"/>
          <w:sz w:val="32"/>
          <w:szCs w:val="32"/>
        </w:rPr>
        <w:t>万元，其中：基本支出8.3</w:t>
      </w:r>
      <w:r>
        <w:rPr>
          <w:rFonts w:ascii="仿宋" w:hAnsi="仿宋" w:eastAsia="仿宋" w:cs="Courier New"/>
          <w:sz w:val="32"/>
          <w:szCs w:val="32"/>
        </w:rPr>
        <w:t>8</w:t>
      </w:r>
      <w:r>
        <w:rPr>
          <w:rFonts w:hint="eastAsia" w:ascii="仿宋" w:hAnsi="仿宋" w:eastAsia="仿宋" w:cs="Courier New"/>
          <w:sz w:val="32"/>
          <w:szCs w:val="32"/>
        </w:rPr>
        <w:t>万元，占68.80%;项目支出3.8万元，占31.20%。</w:t>
      </w:r>
    </w:p>
    <w:p>
      <w:pPr>
        <w:rPr>
          <w:rFonts w:ascii="仿宋" w:hAnsi="仿宋" w:eastAsia="仿宋"/>
          <w:b/>
          <w:sz w:val="32"/>
          <w:szCs w:val="32"/>
        </w:rPr>
      </w:pPr>
      <w:r>
        <w:rPr>
          <w:rFonts w:hint="eastAsia" w:ascii="仿宋" w:hAnsi="仿宋" w:eastAsia="仿宋"/>
          <w:b/>
          <w:sz w:val="32"/>
          <w:szCs w:val="32"/>
        </w:rPr>
        <w:t>四、财政拨款收入支出预算总体情况说明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尉氏县贾鲁河开发管理中心2021年一般公共预算收支预算12.1</w:t>
      </w:r>
      <w:r>
        <w:rPr>
          <w:rFonts w:ascii="仿宋" w:hAnsi="仿宋" w:eastAsia="仿宋" w:cs="Courier New"/>
          <w:sz w:val="32"/>
          <w:szCs w:val="32"/>
        </w:rPr>
        <w:t>8</w:t>
      </w:r>
      <w:r>
        <w:rPr>
          <w:rFonts w:hint="eastAsia" w:ascii="仿宋" w:hAnsi="仿宋" w:eastAsia="仿宋" w:cs="Courier New"/>
          <w:sz w:val="32"/>
          <w:szCs w:val="32"/>
        </w:rPr>
        <w:t>万元,政府性基金收支预算0万元。与2020年相比，一般公共预算收支预算增加0.56万，增长4.83%，主要原因：工资正常晋升及社保缴费基数调整，导致工资及社保费用增加;政府性基金收支预算减少0万元，下降0%。与2020年相比，政府性基金收支预算0万元，收支预算减少0万元，下降0%。</w:t>
      </w:r>
    </w:p>
    <w:p>
      <w:pPr>
        <w:rPr>
          <w:rFonts w:ascii="仿宋" w:hAnsi="仿宋" w:eastAsia="仿宋"/>
          <w:b/>
          <w:sz w:val="32"/>
          <w:szCs w:val="32"/>
        </w:rPr>
      </w:pPr>
      <w:r>
        <w:rPr>
          <w:rFonts w:hint="eastAsia" w:ascii="仿宋" w:hAnsi="仿宋" w:eastAsia="仿宋"/>
          <w:b/>
          <w:sz w:val="32"/>
          <w:szCs w:val="32"/>
        </w:rPr>
        <w:t>五、一般公共预算支出预算情况说明</w:t>
      </w:r>
    </w:p>
    <w:p>
      <w:pPr>
        <w:spacing w:line="560" w:lineRule="exact"/>
        <w:ind w:firstLine="640" w:firstLineChars="200"/>
        <w:rPr>
          <w:rFonts w:ascii="仿宋" w:hAnsi="仿宋" w:eastAsia="仿宋" w:cs="Courier New"/>
          <w:sz w:val="32"/>
          <w:szCs w:val="32"/>
        </w:rPr>
      </w:pPr>
      <w:r>
        <w:rPr>
          <w:rFonts w:hint="eastAsia" w:ascii="仿宋" w:hAnsi="仿宋" w:eastAsia="仿宋" w:cs="Courier New"/>
          <w:sz w:val="32"/>
          <w:szCs w:val="32"/>
        </w:rPr>
        <w:t>尉氏县贾鲁河开发管理中心2021年一般公共预算支出年初预算为12.1</w:t>
      </w:r>
      <w:r>
        <w:rPr>
          <w:rFonts w:ascii="仿宋" w:hAnsi="仿宋" w:eastAsia="仿宋" w:cs="Courier New"/>
          <w:sz w:val="32"/>
          <w:szCs w:val="32"/>
        </w:rPr>
        <w:t>8</w:t>
      </w:r>
      <w:r>
        <w:rPr>
          <w:rFonts w:hint="eastAsia" w:ascii="仿宋" w:hAnsi="仿宋" w:eastAsia="仿宋" w:cs="Courier New"/>
          <w:sz w:val="32"/>
          <w:szCs w:val="32"/>
        </w:rPr>
        <w:t>万元。主要用于以下方面:一般公共服务(类)支出人员工资福利支出8.1</w:t>
      </w:r>
      <w:r>
        <w:rPr>
          <w:rFonts w:ascii="仿宋" w:hAnsi="仿宋" w:eastAsia="仿宋" w:cs="Courier New"/>
          <w:sz w:val="32"/>
          <w:szCs w:val="32"/>
        </w:rPr>
        <w:t>8</w:t>
      </w:r>
      <w:r>
        <w:rPr>
          <w:rFonts w:hint="eastAsia" w:ascii="仿宋" w:hAnsi="仿宋" w:eastAsia="仿宋" w:cs="Courier New"/>
          <w:sz w:val="32"/>
          <w:szCs w:val="32"/>
        </w:rPr>
        <w:t>万元, 占67.16%;商品和服务支出0.2万元,占1.64%;项目支出3.8万元,占31.2%。</w:t>
      </w:r>
    </w:p>
    <w:p>
      <w:pPr>
        <w:spacing w:line="560" w:lineRule="exact"/>
        <w:rPr>
          <w:rFonts w:ascii="仿宋" w:hAnsi="仿宋" w:eastAsia="仿宋" w:cs="黑体"/>
          <w:b/>
          <w:kern w:val="0"/>
          <w:sz w:val="32"/>
          <w:szCs w:val="32"/>
        </w:rPr>
      </w:pPr>
      <w:r>
        <w:rPr>
          <w:rFonts w:hint="eastAsia" w:ascii="仿宋" w:hAnsi="仿宋" w:eastAsia="仿宋"/>
          <w:b/>
          <w:sz w:val="32"/>
          <w:szCs w:val="32"/>
        </w:rPr>
        <w:t>六、</w:t>
      </w:r>
      <w:r>
        <w:rPr>
          <w:rFonts w:hint="eastAsia" w:ascii="仿宋" w:hAnsi="仿宋" w:eastAsia="仿宋" w:cs="黑体"/>
          <w:b/>
          <w:kern w:val="0"/>
          <w:sz w:val="32"/>
          <w:szCs w:val="32"/>
        </w:rPr>
        <w:t>支出预算经济分类情况说明</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中心《支出经济分类汇总表》从2018年起从仅反映一般公共预算基本支出经济分类科目预算调整为按两套经济分类科目分别反映不同资金来源的全部预算支出。</w:t>
      </w:r>
    </w:p>
    <w:p>
      <w:pPr>
        <w:rPr>
          <w:rFonts w:ascii="仿宋" w:hAnsi="仿宋" w:eastAsia="仿宋"/>
          <w:b/>
          <w:sz w:val="32"/>
          <w:szCs w:val="32"/>
        </w:rPr>
      </w:pPr>
      <w:r>
        <w:rPr>
          <w:rFonts w:hint="eastAsia" w:ascii="仿宋" w:hAnsi="仿宋" w:eastAsia="仿宋"/>
          <w:b/>
          <w:sz w:val="32"/>
          <w:szCs w:val="32"/>
        </w:rPr>
        <w:t>七、政府性基金预算支出决算情况说明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我中心2021年没有使用政府性基金预算拨款安排的支出。</w:t>
      </w:r>
    </w:p>
    <w:p>
      <w:pPr>
        <w:rPr>
          <w:rFonts w:ascii="仿宋" w:hAnsi="仿宋" w:eastAsia="仿宋"/>
          <w:b/>
          <w:sz w:val="32"/>
          <w:szCs w:val="32"/>
        </w:rPr>
      </w:pPr>
      <w:r>
        <w:rPr>
          <w:rFonts w:hint="eastAsia" w:ascii="仿宋" w:hAnsi="仿宋" w:eastAsia="仿宋"/>
          <w:b/>
          <w:sz w:val="32"/>
          <w:szCs w:val="32"/>
        </w:rPr>
        <w:t>八、“三公”经费支出预算情况说明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我中心2021年“三公”经费预算为0万元。2021年“三公”经费支出预算数比2020年减少0.04万元。</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具体支出情况如下：</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（一）因公出国（境）费0万元，主要用于中心工作人员公务出国（境）的住宿费、旅费、伙食补助费、杂费、培训费等支出。预算数比 2020年减少0万元。主要原因：我中心无因公出国（境）费用。</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（二）公务用车购置及运行费0万元，其中，公务用车购置费0万元；公务用车运行维护费0万元。公务用车购置费预算数比 2020 年减少0万元。公务用车运行维护费预算数比 2020年减少0万元。</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（三）公务接待费0万元，主要用于按规定开支的各类公务接待（含外宾接待）支出。公务接待费</w:t>
      </w:r>
      <w:r>
        <w:rPr>
          <w:rFonts w:hint="eastAsia" w:ascii="仿宋" w:hAnsi="仿宋" w:eastAsia="仿宋" w:cs="Courier New"/>
          <w:sz w:val="32"/>
          <w:szCs w:val="32"/>
          <w:lang w:val="en-US" w:eastAsia="zh-CN"/>
        </w:rPr>
        <w:t>2020年预算数为0.004</w:t>
      </w:r>
      <w:r>
        <w:rPr>
          <w:rFonts w:hint="eastAsia" w:ascii="仿宋" w:hAnsi="仿宋" w:eastAsia="仿宋" w:cs="Courier New"/>
          <w:sz w:val="32"/>
          <w:szCs w:val="32"/>
        </w:rPr>
        <w:t>万元</w:t>
      </w:r>
      <w:r>
        <w:rPr>
          <w:rFonts w:hint="eastAsia" w:ascii="仿宋" w:hAnsi="仿宋" w:eastAsia="仿宋" w:cs="Courier New"/>
          <w:sz w:val="32"/>
          <w:szCs w:val="32"/>
          <w:lang w:eastAsia="zh-CN"/>
        </w:rPr>
        <w:t>，</w:t>
      </w:r>
      <w:r>
        <w:rPr>
          <w:rFonts w:hint="eastAsia" w:ascii="仿宋" w:hAnsi="仿宋" w:eastAsia="仿宋" w:cs="Courier New"/>
          <w:sz w:val="32"/>
          <w:szCs w:val="32"/>
          <w:lang w:val="en-US" w:eastAsia="zh-CN"/>
        </w:rPr>
        <w:t>2021年预算数为0万元，2021年</w:t>
      </w:r>
      <w:r>
        <w:rPr>
          <w:rFonts w:hint="eastAsia" w:ascii="仿宋" w:hAnsi="仿宋" w:eastAsia="仿宋" w:cs="Courier New"/>
          <w:sz w:val="32"/>
          <w:szCs w:val="32"/>
        </w:rPr>
        <w:t>预算数比 2020年减少0.004万元。主要原因：压缩开支，取消公务招待。</w:t>
      </w:r>
      <w:r>
        <w:rPr>
          <w:rFonts w:hint="eastAsia" w:ascii="仿宋" w:hAnsi="仿宋" w:eastAsia="仿宋" w:cs="宋体"/>
          <w:color w:val="000000" w:themeColor="text1"/>
          <w:kern w:val="0"/>
          <w:sz w:val="32"/>
          <w:szCs w:val="32"/>
          <w14:textFill>
            <w14:solidFill>
              <w14:schemeClr w14:val="tx1"/>
            </w14:solidFill>
          </w14:textFill>
        </w:rPr>
        <w:t xml:space="preserve">　　 </w:t>
      </w:r>
    </w:p>
    <w:p>
      <w:pPr>
        <w:kinsoku w:val="0"/>
        <w:overflowPunct w:val="0"/>
        <w:autoSpaceDE w:val="0"/>
        <w:autoSpaceDN w:val="0"/>
        <w:adjustRightInd w:val="0"/>
        <w:snapToGrid w:val="0"/>
        <w:rPr>
          <w:rFonts w:ascii="仿宋" w:hAnsi="仿宋" w:eastAsia="仿宋" w:cs="Courier New"/>
          <w:b/>
          <w:sz w:val="32"/>
          <w:szCs w:val="32"/>
        </w:rPr>
      </w:pPr>
      <w:r>
        <w:rPr>
          <w:rFonts w:hint="eastAsia" w:ascii="仿宋" w:hAnsi="仿宋" w:eastAsia="仿宋" w:cs="黑体"/>
          <w:b/>
          <w:spacing w:val="-1"/>
          <w:kern w:val="0"/>
          <w:sz w:val="32"/>
          <w:szCs w:val="32"/>
        </w:rPr>
        <w:t>九、其他重要事项的情况说明</w:t>
      </w:r>
      <w:r>
        <w:rPr>
          <w:rFonts w:hint="eastAsia" w:ascii="仿宋" w:hAnsi="仿宋" w:eastAsia="仿宋" w:cs="黑体"/>
          <w:b/>
          <w:color w:val="FFFFFF" w:themeColor="background1"/>
          <w:spacing w:val="-1"/>
          <w:kern w:val="0"/>
          <w:sz w:val="32"/>
          <w:szCs w:val="32"/>
          <w14:textFill>
            <w14:solidFill>
              <w14:schemeClr w14:val="bg1"/>
            </w14:solidFill>
          </w14:textFill>
        </w:rPr>
        <w:t>说明</w:t>
      </w:r>
    </w:p>
    <w:p>
      <w:pPr>
        <w:ind w:firstLine="643" w:firstLineChars="200"/>
        <w:rPr>
          <w:rFonts w:ascii="仿宋" w:hAnsi="仿宋" w:eastAsia="仿宋"/>
          <w:b/>
          <w:sz w:val="32"/>
          <w:szCs w:val="32"/>
        </w:rPr>
      </w:pPr>
      <w:r>
        <w:rPr>
          <w:rFonts w:hint="eastAsia" w:ascii="仿宋" w:hAnsi="仿宋" w:eastAsia="仿宋" w:cs="仿宋_GB2312"/>
          <w:b/>
          <w:kern w:val="0"/>
          <w:sz w:val="32"/>
          <w:szCs w:val="32"/>
        </w:rPr>
        <w:t>（一）</w:t>
      </w:r>
      <w:r>
        <w:rPr>
          <w:rFonts w:hint="eastAsia" w:ascii="仿宋" w:hAnsi="仿宋" w:eastAsia="仿宋"/>
          <w:b/>
          <w:sz w:val="32"/>
          <w:szCs w:val="32"/>
        </w:rPr>
        <w:t>机关运行经费预算支出情况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我中心2021年机关运行经费支出预算0.2万元，主要保障机构正常运转及正常履职需要。</w:t>
      </w:r>
    </w:p>
    <w:p>
      <w:pPr>
        <w:ind w:firstLine="643" w:firstLineChars="200"/>
        <w:rPr>
          <w:rFonts w:ascii="仿宋" w:hAnsi="仿宋" w:eastAsia="仿宋"/>
          <w:b/>
          <w:sz w:val="32"/>
          <w:szCs w:val="32"/>
        </w:rPr>
      </w:pPr>
      <w:r>
        <w:rPr>
          <w:rFonts w:hint="eastAsia" w:ascii="仿宋" w:hAnsi="仿宋" w:eastAsia="仿宋" w:cs="仿宋_GB2312"/>
          <w:b/>
          <w:kern w:val="0"/>
          <w:sz w:val="32"/>
          <w:szCs w:val="32"/>
        </w:rPr>
        <w:t>（二）</w:t>
      </w:r>
      <w:r>
        <w:rPr>
          <w:rFonts w:hint="eastAsia" w:ascii="仿宋" w:hAnsi="仿宋" w:eastAsia="仿宋"/>
          <w:b/>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仿宋_GB2312"/>
          <w:b/>
          <w:kern w:val="0"/>
          <w:sz w:val="32"/>
          <w:szCs w:val="32"/>
        </w:rPr>
      </w:pPr>
      <w:r>
        <w:rPr>
          <w:rFonts w:hint="eastAsia" w:ascii="仿宋" w:hAnsi="仿宋" w:eastAsia="仿宋" w:cs="Courier New"/>
          <w:sz w:val="32"/>
          <w:szCs w:val="32"/>
        </w:rPr>
        <w:t>2021年政府采购预算安排0万元，</w:t>
      </w:r>
      <w:r>
        <w:rPr>
          <w:rFonts w:hint="eastAsia" w:ascii="仿宋" w:hAnsi="仿宋" w:eastAsia="仿宋"/>
          <w:sz w:val="32"/>
          <w:szCs w:val="32"/>
        </w:rPr>
        <w:t>其中：政府采购货物预算0万元、政府采购工程预算0万元、政府采购服务预算0万元。</w:t>
      </w:r>
    </w:p>
    <w:p>
      <w:pPr>
        <w:kinsoku w:val="0"/>
        <w:overflowPunct w:val="0"/>
        <w:autoSpaceDE w:val="0"/>
        <w:autoSpaceDN w:val="0"/>
        <w:adjustRightInd w:val="0"/>
        <w:snapToGrid w:val="0"/>
        <w:spacing w:line="360" w:lineRule="auto"/>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我单位2021 年预算项目均按要求编制了绩效目标，从项目产出、项目效益、满意度等方面设置了绩效指标，综合反映项目预期完成的数量、实效、质量，预期达到的社会经济效益、可持续影响以及服务对象满意度等情况。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2021年，我单位拟组织对</w:t>
      </w:r>
      <w:r>
        <w:rPr>
          <w:rFonts w:hint="eastAsia" w:ascii="仿宋" w:hAnsi="仿宋" w:eastAsia="仿宋" w:cs="Courier New"/>
          <w:sz w:val="32"/>
          <w:szCs w:val="32"/>
          <w:lang w:val="en-US" w:eastAsia="zh-CN"/>
        </w:rPr>
        <w:t>1</w:t>
      </w:r>
      <w:r>
        <w:rPr>
          <w:rFonts w:hint="eastAsia" w:ascii="仿宋" w:hAnsi="仿宋" w:eastAsia="仿宋" w:cs="Courier New"/>
          <w:sz w:val="32"/>
          <w:szCs w:val="32"/>
        </w:rPr>
        <w:t>个项目</w:t>
      </w:r>
      <w:r>
        <w:rPr>
          <w:rFonts w:hint="eastAsia" w:ascii="仿宋" w:hAnsi="仿宋" w:eastAsia="仿宋" w:cs="Courier New"/>
          <w:sz w:val="32"/>
          <w:szCs w:val="32"/>
          <w:lang w:val="en-US" w:eastAsia="zh-CN"/>
        </w:rPr>
        <w:t>--鱼鸭混养</w:t>
      </w:r>
      <w:r>
        <w:rPr>
          <w:rFonts w:hint="eastAsia" w:ascii="仿宋" w:hAnsi="仿宋" w:eastAsia="仿宋" w:cs="Courier New"/>
          <w:sz w:val="32"/>
          <w:szCs w:val="32"/>
        </w:rPr>
        <w:t>进行预算绩效评价，涉及资金</w:t>
      </w:r>
      <w:r>
        <w:rPr>
          <w:rFonts w:hint="eastAsia" w:ascii="仿宋" w:hAnsi="仿宋" w:eastAsia="仿宋" w:cs="Courier New"/>
          <w:sz w:val="32"/>
          <w:szCs w:val="32"/>
          <w:lang w:val="en-US" w:eastAsia="zh-CN"/>
        </w:rPr>
        <w:t>3.8</w:t>
      </w:r>
      <w:r>
        <w:rPr>
          <w:rFonts w:hint="eastAsia" w:ascii="仿宋" w:hAnsi="仿宋" w:eastAsia="仿宋" w:cs="Courier New"/>
          <w:sz w:val="32"/>
          <w:szCs w:val="32"/>
        </w:rPr>
        <w:t>万元。2021年，我局已对</w:t>
      </w:r>
      <w:r>
        <w:rPr>
          <w:rFonts w:hint="eastAsia" w:ascii="仿宋" w:hAnsi="仿宋" w:eastAsia="仿宋" w:cs="Courier New"/>
          <w:sz w:val="32"/>
          <w:szCs w:val="32"/>
          <w:lang w:val="en-US" w:eastAsia="zh-CN"/>
        </w:rPr>
        <w:t>1</w:t>
      </w:r>
      <w:r>
        <w:rPr>
          <w:rFonts w:hint="eastAsia" w:ascii="仿宋" w:hAnsi="仿宋" w:eastAsia="仿宋" w:cs="Courier New"/>
          <w:sz w:val="32"/>
          <w:szCs w:val="32"/>
        </w:rPr>
        <w:t>个项目</w:t>
      </w:r>
      <w:r>
        <w:rPr>
          <w:rFonts w:hint="eastAsia" w:ascii="仿宋" w:hAnsi="仿宋" w:eastAsia="仿宋" w:cs="Courier New"/>
          <w:sz w:val="32"/>
          <w:szCs w:val="32"/>
          <w:lang w:val="en-US" w:eastAsia="zh-CN"/>
        </w:rPr>
        <w:t>--鱼鸭混养</w:t>
      </w:r>
      <w:r>
        <w:rPr>
          <w:rFonts w:hint="eastAsia" w:ascii="仿宋" w:hAnsi="仿宋" w:eastAsia="仿宋" w:cs="Courier New"/>
          <w:sz w:val="32"/>
          <w:szCs w:val="32"/>
        </w:rPr>
        <w:t>设立了预算绩效目标，涉及资金</w:t>
      </w:r>
      <w:r>
        <w:rPr>
          <w:rFonts w:hint="eastAsia" w:ascii="仿宋" w:hAnsi="仿宋" w:eastAsia="仿宋" w:cs="Courier New"/>
          <w:sz w:val="32"/>
          <w:szCs w:val="32"/>
          <w:lang w:val="en-US" w:eastAsia="zh-CN"/>
        </w:rPr>
        <w:t>3.8</w:t>
      </w:r>
      <w:r>
        <w:rPr>
          <w:rFonts w:hint="eastAsia" w:ascii="仿宋" w:hAnsi="仿宋" w:eastAsia="仿宋" w:cs="Courier New"/>
          <w:sz w:val="32"/>
          <w:szCs w:val="32"/>
        </w:rPr>
        <w:t>万元。</w:t>
      </w:r>
    </w:p>
    <w:p>
      <w:pPr>
        <w:kinsoku w:val="0"/>
        <w:overflowPunct w:val="0"/>
        <w:autoSpaceDE w:val="0"/>
        <w:autoSpaceDN w:val="0"/>
        <w:adjustRightInd w:val="0"/>
        <w:snapToGrid w:val="0"/>
        <w:spacing w:line="360" w:lineRule="auto"/>
        <w:ind w:firstLine="803" w:firstLineChars="250"/>
        <w:rPr>
          <w:rFonts w:ascii="仿宋" w:hAnsi="仿宋" w:eastAsia="仿宋" w:cs="仿宋_GB2312"/>
          <w:b/>
          <w:kern w:val="0"/>
          <w:sz w:val="32"/>
          <w:szCs w:val="32"/>
        </w:rPr>
      </w:pPr>
      <w:r>
        <w:rPr>
          <w:rFonts w:hint="eastAsia" w:ascii="仿宋" w:hAnsi="仿宋" w:eastAsia="仿宋" w:cs="仿宋_GB2312"/>
          <w:b/>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年期末，我中心共有车辆0辆，其中：一般公务用车0辆、一般执法执勤用车0辆、特种专业技术用车0辆，其他用车0辆，其他用车主要是没有车辆；单价50万元以上通用设备0台（套），中心价值100万元以上专用设备0台（套）。</w:t>
      </w:r>
    </w:p>
    <w:p>
      <w:pPr>
        <w:kinsoku w:val="0"/>
        <w:overflowPunct w:val="0"/>
        <w:autoSpaceDE w:val="0"/>
        <w:autoSpaceDN w:val="0"/>
        <w:adjustRightInd w:val="0"/>
        <w:snapToGrid w:val="0"/>
        <w:spacing w:line="360" w:lineRule="auto"/>
        <w:ind w:firstLine="643" w:firstLineChars="200"/>
        <w:rPr>
          <w:rFonts w:ascii="仿宋" w:hAnsi="仿宋" w:eastAsia="仿宋" w:cs="Courier New"/>
          <w:b/>
          <w:sz w:val="32"/>
          <w:szCs w:val="32"/>
        </w:rPr>
      </w:pPr>
      <w:r>
        <w:rPr>
          <w:rFonts w:hint="eastAsia" w:ascii="仿宋" w:hAnsi="仿宋" w:eastAsia="仿宋"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我中心负责管理的专项转移支付项目共有0项，主要是：0项目0万元等；我中心将按照《预算法》等有关规定，积极做好项目分配前期准备工作，在规定的时间内向财政部门提出资金分配意见，根据有关要求做好项目申报公开等相关工作。</w:t>
      </w:r>
    </w:p>
    <w:p>
      <w:pPr>
        <w:kinsoku w:val="0"/>
        <w:overflowPunct w:val="0"/>
        <w:autoSpaceDE w:val="0"/>
        <w:autoSpaceDN w:val="0"/>
        <w:adjustRightInd w:val="0"/>
        <w:snapToGrid w:val="0"/>
        <w:spacing w:line="360" w:lineRule="auto"/>
        <w:rPr>
          <w:rFonts w:ascii="仿宋" w:hAnsi="仿宋" w:eastAsia="仿宋" w:cs="Courier New"/>
          <w:sz w:val="32"/>
          <w:szCs w:val="32"/>
        </w:rPr>
      </w:pPr>
    </w:p>
    <w:p>
      <w:pPr>
        <w:adjustRightInd w:val="0"/>
        <w:snapToGrid w:val="0"/>
        <w:spacing w:line="360" w:lineRule="auto"/>
        <w:jc w:val="center"/>
        <w:rPr>
          <w:rFonts w:ascii="仿宋" w:hAnsi="仿宋" w:eastAsia="仿宋"/>
          <w:sz w:val="32"/>
          <w:szCs w:val="32"/>
        </w:rPr>
      </w:pP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第三部分</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名词解释</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一、财政拨款收入：是指省级财政当年拨付的资金。</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二、事业收入：是指事业中心开展专业活动及辅助活动所取得的收入。</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 xml:space="preserve">三、其他收入：是指部门取得的除“财政拨款”、“事业收入”、“事业中心经营收入”等以外的收入。 </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四、用事业基金弥补收支差额：是指事业中心在当年的“财政拨款收入”、“事业收入”、“经营收入”和“其他收入”不足以安排当年支出的情况下，使用以前年度积累的事业基金（即事业中心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七、“三公”经费：是指纳入省级财政预算管理，部门使用财政拨款安排的因公出国（境）费、公务用车购置及运行费和公务接待费。其中，因公出国（境）费反映中心公务出国（境）的住宿费、旅费、伙食补助费、杂费、培训费等支出；公务用车购置及运行费反映中心公务用车购置费及租用费、燃料费、维修费、过路过桥费、保险费、安全奖励费用等支出；公务接待费反映中心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八、机关运行经费：是指为保障行政中心（含参照公务员法管理的事业中心）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360" w:lineRule="auto"/>
        <w:rPr>
          <w:rFonts w:ascii="仿宋" w:hAnsi="仿宋" w:eastAsia="仿宋" w:cs="Courier New"/>
          <w:sz w:val="32"/>
          <w:szCs w:val="32"/>
        </w:rPr>
      </w:pPr>
      <w:r>
        <w:rPr>
          <w:rFonts w:hint="eastAsia" w:ascii="仿宋" w:hAnsi="仿宋" w:eastAsia="仿宋"/>
          <w:sz w:val="32"/>
          <w:szCs w:val="32"/>
        </w:rPr>
        <w:t>附件：</w:t>
      </w:r>
    </w:p>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尉氏县贾鲁河开发管理中心2021年度部门预算表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一、</w:t>
      </w:r>
      <w:r>
        <w:rPr>
          <w:rFonts w:hint="eastAsia" w:ascii="仿宋" w:hAnsi="仿宋" w:eastAsia="仿宋"/>
          <w:sz w:val="32"/>
          <w:szCs w:val="32"/>
        </w:rPr>
        <w:t>部门收支总体情况表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sz w:val="32"/>
          <w:szCs w:val="32"/>
        </w:rPr>
        <w:t>部门收入总体情况表</w:t>
      </w:r>
    </w:p>
    <w:p>
      <w:pPr>
        <w:kinsoku w:val="0"/>
        <w:overflowPunct w:val="0"/>
        <w:adjustRightInd w:val="0"/>
        <w:snapToGrid w:val="0"/>
        <w:spacing w:line="360" w:lineRule="auto"/>
        <w:ind w:right="51" w:firstLine="960" w:firstLineChars="300"/>
        <w:jc w:val="left"/>
        <w:rPr>
          <w:rFonts w:ascii="仿宋" w:hAnsi="仿宋" w:eastAsia="仿宋"/>
          <w:sz w:val="32"/>
          <w:szCs w:val="32"/>
        </w:rPr>
      </w:pPr>
      <w:r>
        <w:rPr>
          <w:rFonts w:hint="eastAsia" w:ascii="仿宋" w:hAnsi="仿宋" w:eastAsia="仿宋" w:cs="仿宋_GB2312"/>
          <w:sz w:val="32"/>
          <w:szCs w:val="32"/>
        </w:rPr>
        <w:t>三、</w:t>
      </w:r>
      <w:r>
        <w:rPr>
          <w:rFonts w:hint="eastAsia" w:ascii="仿宋" w:hAnsi="仿宋" w:eastAsia="仿宋"/>
          <w:sz w:val="32"/>
          <w:szCs w:val="32"/>
        </w:rPr>
        <w:t>财政拨款收支总体情况表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四、</w:t>
      </w:r>
      <w:r>
        <w:rPr>
          <w:rFonts w:hint="eastAsia" w:ascii="仿宋" w:hAnsi="仿宋" w:eastAsia="仿宋"/>
          <w:sz w:val="32"/>
          <w:szCs w:val="32"/>
        </w:rPr>
        <w:t>部门支出总体情况表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五、</w:t>
      </w:r>
      <w:r>
        <w:rPr>
          <w:rFonts w:hint="eastAsia" w:ascii="仿宋" w:hAnsi="仿宋" w:eastAsia="仿宋"/>
          <w:sz w:val="32"/>
          <w:szCs w:val="32"/>
        </w:rPr>
        <w:t>一般公共预算支出情况表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六、</w:t>
      </w:r>
      <w:r>
        <w:rPr>
          <w:rFonts w:hint="eastAsia" w:ascii="仿宋" w:hAnsi="仿宋" w:eastAsia="仿宋"/>
          <w:sz w:val="32"/>
          <w:szCs w:val="32"/>
        </w:rPr>
        <w:t>支出经济分类汇总表</w:t>
      </w:r>
    </w:p>
    <w:p>
      <w:pPr>
        <w:kinsoku w:val="0"/>
        <w:overflowPunct w:val="0"/>
        <w:adjustRightInd w:val="0"/>
        <w:snapToGrid w:val="0"/>
        <w:spacing w:line="360" w:lineRule="auto"/>
        <w:ind w:right="51" w:firstLine="960" w:firstLineChars="300"/>
        <w:jc w:val="left"/>
        <w:rPr>
          <w:rFonts w:ascii="仿宋" w:hAnsi="仿宋" w:eastAsia="仿宋"/>
          <w:sz w:val="32"/>
          <w:szCs w:val="32"/>
        </w:rPr>
      </w:pPr>
      <w:r>
        <w:rPr>
          <w:rFonts w:hint="eastAsia" w:ascii="仿宋" w:hAnsi="仿宋" w:eastAsia="仿宋" w:cs="仿宋_GB2312"/>
          <w:sz w:val="32"/>
          <w:szCs w:val="32"/>
        </w:rPr>
        <w:t>七、</w:t>
      </w:r>
      <w:r>
        <w:rPr>
          <w:rFonts w:hint="eastAsia" w:ascii="仿宋" w:hAnsi="仿宋" w:eastAsia="仿宋"/>
          <w:sz w:val="32"/>
          <w:szCs w:val="32"/>
        </w:rPr>
        <w:t>一般公共预算基本支出经济分类款级科目表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cs="仿宋_GB2312"/>
          <w:sz w:val="32"/>
          <w:szCs w:val="32"/>
        </w:rPr>
        <w:t>八、</w:t>
      </w:r>
      <w:r>
        <w:rPr>
          <w:rFonts w:hint="eastAsia" w:ascii="仿宋" w:hAnsi="仿宋" w:eastAsia="仿宋"/>
          <w:sz w:val="32"/>
          <w:szCs w:val="32"/>
        </w:rPr>
        <w:t>一般公共预算“三公”经费支出情况表</w:t>
      </w:r>
    </w:p>
    <w:p>
      <w:pPr>
        <w:kinsoku w:val="0"/>
        <w:overflowPunct w:val="0"/>
        <w:adjustRightInd w:val="0"/>
        <w:snapToGrid w:val="0"/>
        <w:spacing w:line="360" w:lineRule="auto"/>
        <w:ind w:right="51" w:firstLine="960" w:firstLineChars="300"/>
        <w:jc w:val="left"/>
        <w:rPr>
          <w:rFonts w:ascii="仿宋" w:hAnsi="仿宋" w:eastAsia="仿宋" w:cs="仿宋_GB2312"/>
          <w:sz w:val="32"/>
          <w:szCs w:val="32"/>
        </w:rPr>
      </w:pPr>
      <w:r>
        <w:rPr>
          <w:rFonts w:hint="eastAsia" w:ascii="仿宋" w:hAnsi="仿宋" w:eastAsia="仿宋"/>
          <w:sz w:val="32"/>
          <w:szCs w:val="32"/>
        </w:rPr>
        <w:t>九、政府性基金预算支出情况表</w:t>
      </w:r>
    </w:p>
    <w:p>
      <w:pPr>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  十、部门（单位）整体绩效目标表</w:t>
      </w:r>
    </w:p>
    <w:p>
      <w:pPr>
        <w:adjustRightInd w:val="0"/>
        <w:snapToGrid w:val="0"/>
        <w:spacing w:line="360" w:lineRule="auto"/>
        <w:ind w:firstLine="960" w:firstLineChars="300"/>
        <w:jc w:val="left"/>
        <w:rPr>
          <w:rFonts w:ascii="仿宋" w:hAnsi="仿宋" w:eastAsia="仿宋"/>
          <w:sz w:val="32"/>
          <w:szCs w:val="32"/>
        </w:rPr>
      </w:pPr>
      <w:r>
        <w:rPr>
          <w:rFonts w:hint="eastAsia" w:ascii="仿宋" w:hAnsi="仿宋" w:eastAsia="仿宋"/>
          <w:sz w:val="32"/>
          <w:szCs w:val="32"/>
        </w:rPr>
        <w:t>十一、部门预算项目绩效目标汇总表</w:t>
      </w:r>
    </w:p>
    <w:p>
      <w:pPr>
        <w:adjustRightInd w:val="0"/>
        <w:snapToGrid w:val="0"/>
        <w:spacing w:line="360" w:lineRule="auto"/>
        <w:jc w:val="left"/>
        <w:rPr>
          <w:rFonts w:ascii="仿宋" w:hAnsi="仿宋" w:eastAsia="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jQ4NzM1MmUzMjdmMDNjMGQ0ZWQxNGU2ZjM5MjMifQ=="/>
  </w:docVars>
  <w:rsids>
    <w:rsidRoot w:val="00A75F47"/>
    <w:rsid w:val="000301F9"/>
    <w:rsid w:val="00041351"/>
    <w:rsid w:val="00044836"/>
    <w:rsid w:val="0004678B"/>
    <w:rsid w:val="00046E03"/>
    <w:rsid w:val="00052599"/>
    <w:rsid w:val="000635CD"/>
    <w:rsid w:val="00063A99"/>
    <w:rsid w:val="000B39F2"/>
    <w:rsid w:val="000B3DD4"/>
    <w:rsid w:val="0010469B"/>
    <w:rsid w:val="001054D6"/>
    <w:rsid w:val="001074DE"/>
    <w:rsid w:val="00113549"/>
    <w:rsid w:val="001210B0"/>
    <w:rsid w:val="00124374"/>
    <w:rsid w:val="0016082B"/>
    <w:rsid w:val="00181B9F"/>
    <w:rsid w:val="00196BE5"/>
    <w:rsid w:val="001A419B"/>
    <w:rsid w:val="001A51C7"/>
    <w:rsid w:val="001E1450"/>
    <w:rsid w:val="002027CE"/>
    <w:rsid w:val="002369F7"/>
    <w:rsid w:val="00241141"/>
    <w:rsid w:val="002426AA"/>
    <w:rsid w:val="0025438C"/>
    <w:rsid w:val="0028295E"/>
    <w:rsid w:val="00293C9B"/>
    <w:rsid w:val="002970C3"/>
    <w:rsid w:val="002A0D81"/>
    <w:rsid w:val="002A394C"/>
    <w:rsid w:val="002A3996"/>
    <w:rsid w:val="002C70E7"/>
    <w:rsid w:val="002D34EF"/>
    <w:rsid w:val="002E6C5E"/>
    <w:rsid w:val="002F1BF3"/>
    <w:rsid w:val="002F43E1"/>
    <w:rsid w:val="003453A7"/>
    <w:rsid w:val="00346BBC"/>
    <w:rsid w:val="00355380"/>
    <w:rsid w:val="00355B2B"/>
    <w:rsid w:val="00374E40"/>
    <w:rsid w:val="003826A0"/>
    <w:rsid w:val="00383049"/>
    <w:rsid w:val="003838CD"/>
    <w:rsid w:val="003A1019"/>
    <w:rsid w:val="003A7B56"/>
    <w:rsid w:val="003B2910"/>
    <w:rsid w:val="003C5D45"/>
    <w:rsid w:val="003E3E6D"/>
    <w:rsid w:val="004004DA"/>
    <w:rsid w:val="00401061"/>
    <w:rsid w:val="004065BD"/>
    <w:rsid w:val="00434984"/>
    <w:rsid w:val="00435BE6"/>
    <w:rsid w:val="004531A7"/>
    <w:rsid w:val="00474E8C"/>
    <w:rsid w:val="00476263"/>
    <w:rsid w:val="00481C5B"/>
    <w:rsid w:val="00484E28"/>
    <w:rsid w:val="004901D2"/>
    <w:rsid w:val="00496AAA"/>
    <w:rsid w:val="004C3ABD"/>
    <w:rsid w:val="004D511A"/>
    <w:rsid w:val="004F24C7"/>
    <w:rsid w:val="004F54F5"/>
    <w:rsid w:val="005000CE"/>
    <w:rsid w:val="005151E7"/>
    <w:rsid w:val="0053042D"/>
    <w:rsid w:val="00531CC3"/>
    <w:rsid w:val="00532CBA"/>
    <w:rsid w:val="0054278D"/>
    <w:rsid w:val="005A1AB1"/>
    <w:rsid w:val="005C1A9F"/>
    <w:rsid w:val="005E3F74"/>
    <w:rsid w:val="005E78B7"/>
    <w:rsid w:val="00601473"/>
    <w:rsid w:val="00615149"/>
    <w:rsid w:val="00630D02"/>
    <w:rsid w:val="00645AC7"/>
    <w:rsid w:val="0065058E"/>
    <w:rsid w:val="00652DA5"/>
    <w:rsid w:val="00653739"/>
    <w:rsid w:val="00657926"/>
    <w:rsid w:val="00666D9C"/>
    <w:rsid w:val="00670E8A"/>
    <w:rsid w:val="00671177"/>
    <w:rsid w:val="006C1C39"/>
    <w:rsid w:val="006C4F81"/>
    <w:rsid w:val="006E5228"/>
    <w:rsid w:val="006E57D8"/>
    <w:rsid w:val="00733234"/>
    <w:rsid w:val="00735D67"/>
    <w:rsid w:val="007367A1"/>
    <w:rsid w:val="00781F14"/>
    <w:rsid w:val="007911BE"/>
    <w:rsid w:val="007A0DB7"/>
    <w:rsid w:val="007A5F9D"/>
    <w:rsid w:val="007C7E79"/>
    <w:rsid w:val="007E34DF"/>
    <w:rsid w:val="007F44DA"/>
    <w:rsid w:val="00802CA3"/>
    <w:rsid w:val="00832C8C"/>
    <w:rsid w:val="008437DF"/>
    <w:rsid w:val="00843C3C"/>
    <w:rsid w:val="00854FE5"/>
    <w:rsid w:val="00864D2B"/>
    <w:rsid w:val="008666EA"/>
    <w:rsid w:val="00883471"/>
    <w:rsid w:val="008917A1"/>
    <w:rsid w:val="008918BA"/>
    <w:rsid w:val="008A2179"/>
    <w:rsid w:val="008A6979"/>
    <w:rsid w:val="008C1549"/>
    <w:rsid w:val="008D1C33"/>
    <w:rsid w:val="00923F30"/>
    <w:rsid w:val="00940404"/>
    <w:rsid w:val="00942735"/>
    <w:rsid w:val="0094406A"/>
    <w:rsid w:val="009669F1"/>
    <w:rsid w:val="00992DAC"/>
    <w:rsid w:val="009A0D17"/>
    <w:rsid w:val="009A1523"/>
    <w:rsid w:val="009B1ADC"/>
    <w:rsid w:val="009C3C21"/>
    <w:rsid w:val="009D23DE"/>
    <w:rsid w:val="009E7994"/>
    <w:rsid w:val="009F2DAC"/>
    <w:rsid w:val="009F4C2E"/>
    <w:rsid w:val="00A20F9C"/>
    <w:rsid w:val="00A37352"/>
    <w:rsid w:val="00A41CCE"/>
    <w:rsid w:val="00A75D2B"/>
    <w:rsid w:val="00A75F47"/>
    <w:rsid w:val="00A827B4"/>
    <w:rsid w:val="00A9706A"/>
    <w:rsid w:val="00AA692A"/>
    <w:rsid w:val="00AC473A"/>
    <w:rsid w:val="00AE2A34"/>
    <w:rsid w:val="00AF48A4"/>
    <w:rsid w:val="00B127E5"/>
    <w:rsid w:val="00B349BF"/>
    <w:rsid w:val="00B4620D"/>
    <w:rsid w:val="00B51E63"/>
    <w:rsid w:val="00B71DD2"/>
    <w:rsid w:val="00B802D4"/>
    <w:rsid w:val="00B853BF"/>
    <w:rsid w:val="00B93939"/>
    <w:rsid w:val="00BC5F69"/>
    <w:rsid w:val="00BD32BF"/>
    <w:rsid w:val="00BF0D81"/>
    <w:rsid w:val="00C066D0"/>
    <w:rsid w:val="00C1534E"/>
    <w:rsid w:val="00C3593A"/>
    <w:rsid w:val="00C51AC6"/>
    <w:rsid w:val="00C6674D"/>
    <w:rsid w:val="00C6717A"/>
    <w:rsid w:val="00C95491"/>
    <w:rsid w:val="00CA3D90"/>
    <w:rsid w:val="00CB6273"/>
    <w:rsid w:val="00CB698D"/>
    <w:rsid w:val="00CD67F6"/>
    <w:rsid w:val="00CE4D93"/>
    <w:rsid w:val="00D20507"/>
    <w:rsid w:val="00D23BB5"/>
    <w:rsid w:val="00D53497"/>
    <w:rsid w:val="00D64F77"/>
    <w:rsid w:val="00D75726"/>
    <w:rsid w:val="00D849FE"/>
    <w:rsid w:val="00D905E4"/>
    <w:rsid w:val="00DB29A4"/>
    <w:rsid w:val="00DD6D86"/>
    <w:rsid w:val="00DE0A18"/>
    <w:rsid w:val="00E02468"/>
    <w:rsid w:val="00E23EAE"/>
    <w:rsid w:val="00E347FC"/>
    <w:rsid w:val="00E4150B"/>
    <w:rsid w:val="00E8400A"/>
    <w:rsid w:val="00E847A1"/>
    <w:rsid w:val="00E95920"/>
    <w:rsid w:val="00EA1CFC"/>
    <w:rsid w:val="00ED61FA"/>
    <w:rsid w:val="00EE34D1"/>
    <w:rsid w:val="00F01A53"/>
    <w:rsid w:val="00F04CE4"/>
    <w:rsid w:val="00F17107"/>
    <w:rsid w:val="00F219F4"/>
    <w:rsid w:val="00F23772"/>
    <w:rsid w:val="00F46170"/>
    <w:rsid w:val="00F73AB3"/>
    <w:rsid w:val="00F80AC1"/>
    <w:rsid w:val="00F824B6"/>
    <w:rsid w:val="00F87483"/>
    <w:rsid w:val="00FA3090"/>
    <w:rsid w:val="00FD4EA9"/>
    <w:rsid w:val="00FF170E"/>
    <w:rsid w:val="062B11A7"/>
    <w:rsid w:val="096D21FB"/>
    <w:rsid w:val="0C965B71"/>
    <w:rsid w:val="0F1861E4"/>
    <w:rsid w:val="11B00A36"/>
    <w:rsid w:val="232C76EF"/>
    <w:rsid w:val="25646AF0"/>
    <w:rsid w:val="259F7769"/>
    <w:rsid w:val="2B2D4197"/>
    <w:rsid w:val="2B7E79EC"/>
    <w:rsid w:val="2CBE6360"/>
    <w:rsid w:val="2F700468"/>
    <w:rsid w:val="34B15810"/>
    <w:rsid w:val="37F35DF4"/>
    <w:rsid w:val="47936BC0"/>
    <w:rsid w:val="525C722B"/>
    <w:rsid w:val="58EA256A"/>
    <w:rsid w:val="59C75708"/>
    <w:rsid w:val="664F58C6"/>
    <w:rsid w:val="6D0D5207"/>
    <w:rsid w:val="727F461F"/>
    <w:rsid w:val="7B8F6B8F"/>
    <w:rsid w:val="7E0643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autoSpaceDE w:val="0"/>
      <w:autoSpaceDN w:val="0"/>
      <w:adjustRightInd w:val="0"/>
      <w:ind w:left="761"/>
      <w:jc w:val="left"/>
    </w:pPr>
    <w:rPr>
      <w:rFonts w:ascii="仿宋_GB2312" w:eastAsia="仿宋_GB2312" w:cs="仿宋_GB2312" w:hAnsiTheme="minorHAnsi"/>
      <w:kern w:val="0"/>
      <w:sz w:val="32"/>
      <w:szCs w:val="3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正文文本 字符"/>
    <w:link w:val="2"/>
    <w:qFormat/>
    <w:uiPriority w:val="0"/>
    <w:rPr>
      <w:rFonts w:ascii="仿宋_GB2312" w:eastAsia="仿宋_GB2312" w:cs="仿宋_GB2312"/>
      <w:sz w:val="32"/>
      <w:szCs w:val="32"/>
    </w:rPr>
  </w:style>
  <w:style w:type="character" w:customStyle="1" w:styleId="14">
    <w:name w:val="正文文本 Char1"/>
    <w:basedOn w:val="8"/>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C96D-6EF5-45B5-BE5F-1CFD5E3AEC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2940</Words>
  <Characters>3145</Characters>
  <Lines>22</Lines>
  <Paragraphs>6</Paragraphs>
  <TotalTime>2</TotalTime>
  <ScaleCrop>false</ScaleCrop>
  <LinksUpToDate>false</LinksUpToDate>
  <CharactersWithSpaces>3170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2018-01-24T03:08:00Z</dcterms:created>
  <dc:creator>微软用户</dc:creator>
  <cp:lastModifiedBy>微型无线警报器</cp:lastModifiedBy>
  <cp:lastPrinted>2018-11-09T06:53:00Z</cp:lastPrinted>
  <dcterms:modified xsi:type="dcterms:W3CDTF">2022-09-26T09:15:36Z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E9C39EB9CDEA470A8247E4094BE75E79</vt:lpwstr>
  </property>
</Properties>
</file>