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尉氏县职业技术教育中心部门决算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尉氏县职业技术教育中心概况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尉氏县职业技术教育中心</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概     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尉氏县职业技术教育中心主要职责是：</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1.职业技术学历教育。</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2.下岗失业人员转岗培训。</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3.农村剩余劳动力开展异地就业培训。</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4.农业产业结构调整专业技术培训。</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尉氏县职业技术教育中心</w:t>
      </w:r>
      <w:r>
        <w:rPr>
          <w:rFonts w:hint="eastAsia" w:ascii="仿宋_GB2312" w:hAnsi="仿宋_GB2312" w:eastAsia="仿宋_GB2312" w:cs="仿宋_GB2312"/>
          <w:kern w:val="0"/>
          <w:sz w:val="32"/>
          <w:szCs w:val="32"/>
        </w:rPr>
        <w:t>内设机构4个，包括：</w:t>
      </w:r>
      <w:r>
        <w:rPr>
          <w:rFonts w:hint="eastAsia" w:ascii="仿宋_GB2312" w:hAnsi="仿宋_GB2312" w:eastAsia="仿宋_GB2312" w:cs="仿宋_GB2312"/>
          <w:color w:val="000000"/>
          <w:sz w:val="32"/>
          <w:szCs w:val="32"/>
        </w:rPr>
        <w:t>教务科，学生科、后勤科、办公室</w:t>
      </w:r>
      <w:r>
        <w:rPr>
          <w:rFonts w:hint="eastAsia"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color w:val="000000"/>
          <w:sz w:val="32"/>
          <w:szCs w:val="32"/>
        </w:rPr>
        <w:t>尉氏县职业技术教育中心</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2020年度，</w:t>
      </w:r>
      <w:r>
        <w:rPr>
          <w:rFonts w:hint="eastAsia" w:ascii="仿宋_GB2312" w:hAnsi="仿宋_GB2312" w:eastAsia="仿宋_GB2312" w:cs="仿宋_GB2312"/>
          <w:color w:val="000000"/>
          <w:sz w:val="32"/>
          <w:szCs w:val="32"/>
        </w:rPr>
        <w:t>尉氏县职业技术教育中心</w:t>
      </w:r>
      <w:r>
        <w:rPr>
          <w:rFonts w:hint="eastAsia" w:ascii="仿宋_GB2312" w:hAnsi="仿宋_GB2312" w:eastAsia="仿宋_GB2312" w:cs="仿宋_GB2312"/>
          <w:kern w:val="0"/>
          <w:sz w:val="32"/>
          <w:szCs w:val="32"/>
        </w:rPr>
        <w:t>。</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纳入本部门2020年度部门决算编制范围的单位共1个，其中二级预算单位0个，具体是：</w:t>
      </w:r>
    </w:p>
    <w:p>
      <w:pPr>
        <w:ind w:firstLine="640" w:firstLineChars="200"/>
        <w:rPr>
          <w:rFonts w:ascii="黑体" w:hAnsi="宋体" w:eastAsia="仿宋" w:cs="宋体"/>
          <w:kern w:val="0"/>
          <w:sz w:val="28"/>
          <w:szCs w:val="28"/>
        </w:rPr>
      </w:pPr>
      <w:r>
        <w:rPr>
          <w:rFonts w:hint="eastAsia" w:ascii="仿宋" w:hAnsi="仿宋" w:eastAsia="仿宋" w:cs="仿宋"/>
          <w:color w:val="000000"/>
          <w:sz w:val="32"/>
          <w:szCs w:val="32"/>
          <w:shd w:val="clear" w:color="auto" w:fill="FFFFFF"/>
        </w:rPr>
        <w:t>1.尉氏县专业技术教育中心</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4081" w:type="dxa"/>
        <w:jc w:val="center"/>
        <w:tblLayout w:type="autofit"/>
        <w:tblCellMar>
          <w:top w:w="0" w:type="dxa"/>
          <w:left w:w="108" w:type="dxa"/>
          <w:bottom w:w="0" w:type="dxa"/>
          <w:right w:w="108" w:type="dxa"/>
        </w:tblCellMar>
      </w:tblPr>
      <w:tblGrid>
        <w:gridCol w:w="4665"/>
        <w:gridCol w:w="819"/>
        <w:gridCol w:w="1369"/>
        <w:gridCol w:w="4391"/>
        <w:gridCol w:w="819"/>
        <w:gridCol w:w="2018"/>
      </w:tblGrid>
      <w:tr>
        <w:tblPrEx>
          <w:tblCellMar>
            <w:top w:w="0" w:type="dxa"/>
            <w:left w:w="108" w:type="dxa"/>
            <w:bottom w:w="0" w:type="dxa"/>
            <w:right w:w="108" w:type="dxa"/>
          </w:tblCellMar>
        </w:tblPrEx>
        <w:trPr>
          <w:trHeight w:val="390" w:hRule="atLeast"/>
          <w:jc w:val="center"/>
        </w:trPr>
        <w:tc>
          <w:tcPr>
            <w:tcW w:w="14081" w:type="dxa"/>
            <w:gridSpan w:val="6"/>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24"/>
                <w:szCs w:val="24"/>
                <w:lang w:bidi="ar"/>
              </w:rPr>
              <w:t>收入支出决算总表</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部门：尉氏县职教中心</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支出</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1,105.81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21.89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1,127.70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1,241.89</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131.36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17.17</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1,259.07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1,259.07</w:t>
            </w:r>
          </w:p>
        </w:tc>
      </w:tr>
      <w:tr>
        <w:tblPrEx>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注：本表反映部门本年度的总收支和年末结转结余情况。本套报表金额单位转换时可能存在尾数误差。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4997" w:type="pct"/>
        <w:jc w:val="center"/>
        <w:tblLayout w:type="autofit"/>
        <w:tblCellMar>
          <w:top w:w="0" w:type="dxa"/>
          <w:left w:w="108" w:type="dxa"/>
          <w:bottom w:w="0" w:type="dxa"/>
          <w:right w:w="108" w:type="dxa"/>
        </w:tblCellMar>
      </w:tblPr>
      <w:tblGrid>
        <w:gridCol w:w="2216"/>
        <w:gridCol w:w="222"/>
        <w:gridCol w:w="223"/>
        <w:gridCol w:w="2856"/>
        <w:gridCol w:w="1103"/>
        <w:gridCol w:w="1103"/>
        <w:gridCol w:w="1716"/>
        <w:gridCol w:w="809"/>
        <w:gridCol w:w="1149"/>
        <w:gridCol w:w="1150"/>
        <w:gridCol w:w="1618"/>
      </w:tblGrid>
      <w:tr>
        <w:tblPrEx>
          <w:tblCellMar>
            <w:top w:w="0" w:type="dxa"/>
            <w:left w:w="108" w:type="dxa"/>
            <w:bottom w:w="0" w:type="dxa"/>
            <w:right w:w="108" w:type="dxa"/>
          </w:tblCellMar>
        </w:tblPrEx>
        <w:trPr>
          <w:trHeight w:val="390" w:hRule="atLeast"/>
          <w:jc w:val="center"/>
        </w:trPr>
        <w:tc>
          <w:tcPr>
            <w:tcW w:w="5000" w:type="pct"/>
            <w:gridSpan w:val="11"/>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30"/>
                <w:szCs w:val="30"/>
                <w:lang w:bidi="ar"/>
              </w:rPr>
              <w:t>收入决算表</w:t>
            </w:r>
            <w:bookmarkStart w:id="0" w:name="_GoBack"/>
            <w:bookmarkEnd w:id="0"/>
          </w:p>
        </w:tc>
      </w:tr>
      <w:tr>
        <w:tblPrEx>
          <w:tblCellMar>
            <w:top w:w="0" w:type="dxa"/>
            <w:left w:w="108" w:type="dxa"/>
            <w:bottom w:w="0" w:type="dxa"/>
            <w:right w:w="108" w:type="dxa"/>
          </w:tblCellMar>
        </w:tblPrEx>
        <w:trPr>
          <w:trHeight w:val="255" w:hRule="atLeast"/>
          <w:jc w:val="center"/>
        </w:trPr>
        <w:tc>
          <w:tcPr>
            <w:tcW w:w="78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108" w:type="dxa"/>
            <w:bottom w:w="0" w:type="dxa"/>
            <w:right w:w="108" w:type="dxa"/>
          </w:tblCellMar>
        </w:tblPrEx>
        <w:trPr>
          <w:trHeight w:val="255" w:hRule="atLeast"/>
          <w:jc w:val="center"/>
        </w:trPr>
        <w:tc>
          <w:tcPr>
            <w:tcW w:w="782"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部门：尉氏县职教中心</w:t>
            </w:r>
          </w:p>
        </w:tc>
        <w:tc>
          <w:tcPr>
            <w:tcW w:w="7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1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389"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本年收入合计</w:t>
            </w:r>
          </w:p>
        </w:tc>
        <w:tc>
          <w:tcPr>
            <w:tcW w:w="389"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财政拨款收入</w:t>
            </w:r>
          </w:p>
        </w:tc>
        <w:tc>
          <w:tcPr>
            <w:tcW w:w="606"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上级补助收入</w:t>
            </w:r>
          </w:p>
        </w:tc>
        <w:tc>
          <w:tcPr>
            <w:tcW w:w="286"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事业收入</w:t>
            </w:r>
          </w:p>
        </w:tc>
        <w:tc>
          <w:tcPr>
            <w:tcW w:w="406"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经营收入</w:t>
            </w:r>
          </w:p>
        </w:tc>
        <w:tc>
          <w:tcPr>
            <w:tcW w:w="406"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附属单位上缴收入</w:t>
            </w:r>
          </w:p>
        </w:tc>
        <w:tc>
          <w:tcPr>
            <w:tcW w:w="570"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其他收入</w:t>
            </w:r>
          </w:p>
        </w:tc>
      </w:tr>
      <w:tr>
        <w:tblPrEx>
          <w:tblCellMar>
            <w:top w:w="0" w:type="dxa"/>
            <w:left w:w="108" w:type="dxa"/>
            <w:bottom w:w="0" w:type="dxa"/>
            <w:right w:w="108" w:type="dxa"/>
          </w:tblCellMar>
        </w:tblPrEx>
        <w:trPr>
          <w:trHeight w:val="312" w:hRule="atLeast"/>
          <w:jc w:val="center"/>
        </w:trPr>
        <w:tc>
          <w:tcPr>
            <w:tcW w:w="939"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1008"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38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6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93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008"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6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93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008"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8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6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1947"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389"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389"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60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28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40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40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570"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r>
      <w:tr>
        <w:tblPrEx>
          <w:tblCellMar>
            <w:top w:w="0" w:type="dxa"/>
            <w:left w:w="108" w:type="dxa"/>
            <w:bottom w:w="0" w:type="dxa"/>
            <w:right w:w="108" w:type="dxa"/>
          </w:tblCellMar>
        </w:tblPrEx>
        <w:trPr>
          <w:trHeight w:val="308" w:hRule="atLeast"/>
          <w:jc w:val="center"/>
        </w:trPr>
        <w:tc>
          <w:tcPr>
            <w:tcW w:w="1947"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1,127.70</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1,105.81</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21.89</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教育支出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943.94</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922.05</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21.89</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20503</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职业教育</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943.94</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922.05</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21.89</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2050302</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中等职业教育</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943.94</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922.05</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21.89</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2080502</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事业单位离退休</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其他社会保障和就业支出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2089901</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其他社会保障和就业支出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农林水支出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21305</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扶贫</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2130599</w:t>
            </w:r>
          </w:p>
        </w:tc>
        <w:tc>
          <w:tcPr>
            <w:tcW w:w="100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其他扶贫支出</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3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8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008"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3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28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008"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3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28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5000" w:type="pct"/>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注：本表反映部门本年度取得的各项收入情况。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4998" w:type="pct"/>
        <w:jc w:val="center"/>
        <w:tblLayout w:type="autofit"/>
        <w:tblCellMar>
          <w:top w:w="0" w:type="dxa"/>
          <w:left w:w="108" w:type="dxa"/>
          <w:bottom w:w="0" w:type="dxa"/>
          <w:right w:w="108" w:type="dxa"/>
        </w:tblCellMar>
      </w:tblPr>
      <w:tblGrid>
        <w:gridCol w:w="2215"/>
        <w:gridCol w:w="222"/>
        <w:gridCol w:w="223"/>
        <w:gridCol w:w="2875"/>
        <w:gridCol w:w="1325"/>
        <w:gridCol w:w="1716"/>
        <w:gridCol w:w="1325"/>
        <w:gridCol w:w="1325"/>
        <w:gridCol w:w="1325"/>
        <w:gridCol w:w="1617"/>
      </w:tblGrid>
      <w:tr>
        <w:tblPrEx>
          <w:tblCellMar>
            <w:top w:w="0" w:type="dxa"/>
            <w:left w:w="108" w:type="dxa"/>
            <w:bottom w:w="0" w:type="dxa"/>
            <w:right w:w="108" w:type="dxa"/>
          </w:tblCellMar>
        </w:tblPrEx>
        <w:trPr>
          <w:trHeight w:val="390" w:hRule="atLeast"/>
          <w:jc w:val="center"/>
        </w:trPr>
        <w:tc>
          <w:tcPr>
            <w:tcW w:w="5000" w:type="pct"/>
            <w:gridSpan w:val="10"/>
            <w:tcBorders>
              <w:top w:val="nil"/>
              <w:left w:val="nil"/>
              <w:bottom w:val="nil"/>
              <w:right w:val="nil"/>
            </w:tcBorders>
            <w:shd w:val="clear" w:color="auto" w:fill="auto"/>
            <w:noWrap/>
            <w:vAlign w:val="center"/>
          </w:tcPr>
          <w:p>
            <w:pPr>
              <w:jc w:val="center"/>
              <w:rPr>
                <w:rFonts w:ascii="Arial" w:hAnsi="Arial" w:cs="Arial"/>
                <w:color w:val="000000"/>
                <w:sz w:val="20"/>
                <w:szCs w:val="20"/>
              </w:rPr>
            </w:pPr>
            <w:r>
              <w:rPr>
                <w:rFonts w:hint="eastAsia" w:ascii="宋体" w:hAnsi="宋体" w:cs="宋体"/>
                <w:color w:val="000000"/>
                <w:kern w:val="0"/>
                <w:sz w:val="30"/>
                <w:szCs w:val="30"/>
                <w:lang w:bidi="ar"/>
              </w:rPr>
              <w:t>支出决算表</w:t>
            </w:r>
          </w:p>
        </w:tc>
      </w:tr>
      <w:tr>
        <w:tblPrEx>
          <w:tblCellMar>
            <w:top w:w="0" w:type="dxa"/>
            <w:left w:w="108" w:type="dxa"/>
            <w:bottom w:w="0" w:type="dxa"/>
            <w:right w:w="108" w:type="dxa"/>
          </w:tblCellMar>
        </w:tblPrEx>
        <w:trPr>
          <w:trHeight w:val="255" w:hRule="atLeast"/>
          <w:jc w:val="center"/>
        </w:trPr>
        <w:tc>
          <w:tcPr>
            <w:tcW w:w="78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1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108" w:type="dxa"/>
            <w:bottom w:w="0" w:type="dxa"/>
            <w:right w:w="108" w:type="dxa"/>
          </w:tblCellMar>
        </w:tblPrEx>
        <w:trPr>
          <w:trHeight w:val="255" w:hRule="atLeast"/>
          <w:jc w:val="center"/>
        </w:trPr>
        <w:tc>
          <w:tcPr>
            <w:tcW w:w="1"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lang w:bidi="ar"/>
              </w:rPr>
              <w:t>部门：尉氏县职教中心</w:t>
            </w: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19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468"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本年支出合计</w:t>
            </w:r>
          </w:p>
        </w:tc>
        <w:tc>
          <w:tcPr>
            <w:tcW w:w="606"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468"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c>
          <w:tcPr>
            <w:tcW w:w="468"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上缴上级支出</w:t>
            </w:r>
          </w:p>
        </w:tc>
        <w:tc>
          <w:tcPr>
            <w:tcW w:w="468"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经营支出</w:t>
            </w:r>
          </w:p>
        </w:tc>
        <w:tc>
          <w:tcPr>
            <w:tcW w:w="570"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对附属单位补助支出</w:t>
            </w:r>
          </w:p>
        </w:tc>
      </w:tr>
      <w:tr>
        <w:tblPrEx>
          <w:tblCellMar>
            <w:top w:w="0" w:type="dxa"/>
            <w:left w:w="108" w:type="dxa"/>
            <w:bottom w:w="0" w:type="dxa"/>
            <w:right w:w="108" w:type="dxa"/>
          </w:tblCellMar>
        </w:tblPrEx>
        <w:trPr>
          <w:trHeight w:val="312" w:hRule="atLeast"/>
          <w:jc w:val="center"/>
        </w:trPr>
        <w:tc>
          <w:tcPr>
            <w:tcW w:w="939"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1015"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6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93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015"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6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93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015"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6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1954"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60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468"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70"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308" w:hRule="atLeast"/>
          <w:jc w:val="center"/>
        </w:trPr>
        <w:tc>
          <w:tcPr>
            <w:tcW w:w="1954"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1,241.89</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1,241.89</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教育支出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20503</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职业教育</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2050302</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中等职业教育</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1,058.13</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2080502</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事业单位离退休</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其他社会保障和就业支出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2089901</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其他社会保障和就业支出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农林水支出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21305</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扶贫</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2130599</w:t>
            </w:r>
          </w:p>
        </w:tc>
        <w:tc>
          <w:tcPr>
            <w:tcW w:w="101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其他扶贫支出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60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015"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93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015"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6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jc w:val="center"/>
        <w:tblLayout w:type="autofit"/>
        <w:tblCellMar>
          <w:top w:w="0" w:type="dxa"/>
          <w:left w:w="108" w:type="dxa"/>
          <w:bottom w:w="0" w:type="dxa"/>
          <w:right w:w="108" w:type="dxa"/>
        </w:tblCellMar>
      </w:tblPr>
      <w:tblGrid>
        <w:gridCol w:w="2858"/>
        <w:gridCol w:w="487"/>
        <w:gridCol w:w="1368"/>
        <w:gridCol w:w="3361"/>
        <w:gridCol w:w="487"/>
        <w:gridCol w:w="1365"/>
        <w:gridCol w:w="1365"/>
        <w:gridCol w:w="1374"/>
        <w:gridCol w:w="1509"/>
      </w:tblGrid>
      <w:tr>
        <w:tblPrEx>
          <w:tblCellMar>
            <w:top w:w="0" w:type="dxa"/>
            <w:left w:w="108" w:type="dxa"/>
            <w:bottom w:w="0" w:type="dxa"/>
            <w:right w:w="108" w:type="dxa"/>
          </w:tblCellMar>
        </w:tblPrEx>
        <w:trPr>
          <w:trHeight w:val="390" w:hRule="atLeast"/>
          <w:jc w:val="center"/>
        </w:trPr>
        <w:tc>
          <w:tcPr>
            <w:tcW w:w="5000" w:type="pct"/>
            <w:gridSpan w:val="9"/>
            <w:tcBorders>
              <w:top w:val="nil"/>
              <w:left w:val="nil"/>
              <w:bottom w:val="nil"/>
              <w:right w:val="nil"/>
            </w:tcBorders>
            <w:shd w:val="clear" w:color="auto" w:fill="auto"/>
            <w:noWrap/>
            <w:vAlign w:val="center"/>
          </w:tcPr>
          <w:p>
            <w:pPr>
              <w:jc w:val="center"/>
              <w:rPr>
                <w:rFonts w:ascii="Arial" w:hAnsi="Arial" w:cs="Arial"/>
                <w:color w:val="000000"/>
                <w:sz w:val="20"/>
                <w:szCs w:val="20"/>
              </w:rPr>
            </w:pPr>
            <w:r>
              <w:rPr>
                <w:rFonts w:hint="eastAsia" w:ascii="宋体" w:hAnsi="宋体" w:cs="宋体"/>
                <w:color w:val="000000"/>
                <w:kern w:val="0"/>
                <w:sz w:val="30"/>
                <w:szCs w:val="30"/>
                <w:lang w:bidi="ar"/>
              </w:rPr>
              <w:t>财政拨款收入支出决算总表</w:t>
            </w:r>
          </w:p>
        </w:tc>
      </w:tr>
      <w:tr>
        <w:tblPrEx>
          <w:tblCellMar>
            <w:top w:w="0" w:type="dxa"/>
            <w:left w:w="108" w:type="dxa"/>
            <w:bottom w:w="0" w:type="dxa"/>
            <w:right w:w="108" w:type="dxa"/>
          </w:tblCellMar>
        </w:tblPrEx>
        <w:trPr>
          <w:trHeight w:val="255" w:hRule="atLeast"/>
          <w:jc w:val="center"/>
        </w:trPr>
        <w:tc>
          <w:tcPr>
            <w:tcW w:w="97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9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17"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108" w:type="dxa"/>
            <w:bottom w:w="0" w:type="dxa"/>
            <w:right w:w="108" w:type="dxa"/>
          </w:tblCellMar>
        </w:tblPrEx>
        <w:trPr>
          <w:trHeight w:val="255" w:hRule="atLeast"/>
          <w:jc w:val="center"/>
        </w:trPr>
        <w:tc>
          <w:tcPr>
            <w:tcW w:w="977" w:type="pct"/>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部门：尉氏县职教中心</w:t>
            </w:r>
          </w:p>
        </w:tc>
        <w:tc>
          <w:tcPr>
            <w:tcW w:w="17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9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17"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     入</w:t>
            </w:r>
          </w:p>
        </w:tc>
        <w:tc>
          <w:tcPr>
            <w:tcW w:w="3364" w:type="pct"/>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     出</w:t>
            </w:r>
          </w:p>
        </w:tc>
      </w:tr>
      <w:tr>
        <w:tblPrEx>
          <w:tblCellMar>
            <w:top w:w="0" w:type="dxa"/>
            <w:left w:w="108" w:type="dxa"/>
            <w:bottom w:w="0" w:type="dxa"/>
            <w:right w:w="108" w:type="dxa"/>
          </w:tblCellMar>
        </w:tblPrEx>
        <w:trPr>
          <w:trHeight w:val="312" w:hRule="atLeast"/>
          <w:jc w:val="center"/>
        </w:trPr>
        <w:tc>
          <w:tcPr>
            <w:tcW w:w="97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7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48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121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7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488"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488"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一般公共预算财政拨款</w:t>
            </w:r>
          </w:p>
        </w:tc>
        <w:tc>
          <w:tcPr>
            <w:tcW w:w="49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政府性基金预算财政拨款</w:t>
            </w:r>
          </w:p>
        </w:tc>
        <w:tc>
          <w:tcPr>
            <w:tcW w:w="51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国有资本经营预算财政拨款</w:t>
            </w:r>
          </w:p>
        </w:tc>
      </w:tr>
      <w:tr>
        <w:tblPrEx>
          <w:tblCellMar>
            <w:top w:w="0" w:type="dxa"/>
            <w:left w:w="108" w:type="dxa"/>
            <w:bottom w:w="0" w:type="dxa"/>
            <w:right w:w="108" w:type="dxa"/>
          </w:tblCellMar>
        </w:tblPrEx>
        <w:trPr>
          <w:trHeight w:val="615" w:hRule="atLeast"/>
          <w:jc w:val="center"/>
        </w:trPr>
        <w:tc>
          <w:tcPr>
            <w:tcW w:w="97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7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1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7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88"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88"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9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1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70"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8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70"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88"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1,105.81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三、国有资本经营财政拨款</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十四、资源勘探工业信息等支出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二十一、国有资本经营预算支出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二十二、灾害防治及应急管理支出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二十三、其他支出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二十四、债务还本支出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二十五、债务付息支出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二十六、抗疫特别国债安排的支出</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1,105.81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59</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1,220.00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1,220.00</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年初财政拨款结转和结余</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131.36</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年末财政拨款结转和结余</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17.17</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17.17</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一般公共预算财政拨款</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131.36</w:t>
            </w:r>
          </w:p>
        </w:tc>
        <w:tc>
          <w:tcPr>
            <w:tcW w:w="1210"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9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1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政府性基金预算财政拨款</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210"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9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1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国有资本经营预算财政拨款</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210" w:type="pct"/>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63</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9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51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97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170" w:type="pct"/>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1,237.18</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64</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1,237.18</w:t>
            </w:r>
          </w:p>
        </w:tc>
        <w:tc>
          <w:tcPr>
            <w:tcW w:w="48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1,237.18</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483" w:type="pct"/>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注：本表反映部门本年度一般公共预算财政拨款、政府性基金预算财政拨款和国有资本经营预算财政拨款的总收支和年末结转结余情况。</w:t>
            </w:r>
          </w:p>
        </w:tc>
        <w:tc>
          <w:tcPr>
            <w:tcW w:w="517" w:type="pct"/>
            <w:tcBorders>
              <w:top w:val="nil"/>
              <w:left w:val="nil"/>
              <w:bottom w:val="nil"/>
              <w:right w:val="nil"/>
            </w:tcBorders>
            <w:shd w:val="clear" w:color="auto" w:fill="auto"/>
            <w:noWrap/>
            <w:vAlign w:val="center"/>
          </w:tcPr>
          <w:p>
            <w:pPr>
              <w:jc w:val="left"/>
              <w:rPr>
                <w:rFonts w:ascii="宋体" w:hAnsi="宋体" w:cs="宋体"/>
                <w:color w:val="00000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rPr>
          <w:rFonts w:ascii="仿宋_GB2312" w:hAnsi="仿宋_GB2312" w:eastAsia="仿宋_GB2312" w:cs="仿宋_GB2312"/>
          <w:sz w:val="32"/>
          <w:szCs w:val="32"/>
        </w:rPr>
      </w:pPr>
    </w:p>
    <w:tbl>
      <w:tblPr>
        <w:tblStyle w:val="4"/>
        <w:tblW w:w="3661" w:type="pct"/>
        <w:jc w:val="center"/>
        <w:tblLayout w:type="fixed"/>
        <w:tblCellMar>
          <w:top w:w="0" w:type="dxa"/>
          <w:left w:w="108" w:type="dxa"/>
          <w:bottom w:w="0" w:type="dxa"/>
          <w:right w:w="108" w:type="dxa"/>
        </w:tblCellMar>
      </w:tblPr>
      <w:tblGrid>
        <w:gridCol w:w="671"/>
        <w:gridCol w:w="236"/>
        <w:gridCol w:w="238"/>
        <w:gridCol w:w="3074"/>
        <w:gridCol w:w="2289"/>
        <w:gridCol w:w="1814"/>
        <w:gridCol w:w="1924"/>
      </w:tblGrid>
      <w:tr>
        <w:tblPrEx>
          <w:tblCellMar>
            <w:top w:w="0" w:type="dxa"/>
            <w:left w:w="108" w:type="dxa"/>
            <w:bottom w:w="0" w:type="dxa"/>
            <w:right w:w="108" w:type="dxa"/>
          </w:tblCellMar>
        </w:tblPrEx>
        <w:trPr>
          <w:trHeight w:val="390" w:hRule="atLeast"/>
          <w:jc w:val="center"/>
        </w:trPr>
        <w:tc>
          <w:tcPr>
            <w:tcW w:w="5000" w:type="pct"/>
            <w:gridSpan w:val="7"/>
            <w:tcBorders>
              <w:top w:val="nil"/>
              <w:left w:val="nil"/>
              <w:bottom w:val="nil"/>
              <w:right w:val="nil"/>
            </w:tcBorders>
            <w:shd w:val="clear" w:color="auto" w:fill="auto"/>
            <w:noWrap/>
            <w:vAlign w:val="center"/>
          </w:tcPr>
          <w:p>
            <w:pPr>
              <w:jc w:val="center"/>
              <w:rPr>
                <w:rFonts w:ascii="Arial" w:hAnsi="Arial" w:cs="Arial"/>
                <w:color w:val="000000"/>
                <w:sz w:val="20"/>
                <w:szCs w:val="20"/>
              </w:rPr>
            </w:pPr>
            <w:r>
              <w:rPr>
                <w:rFonts w:hint="eastAsia" w:ascii="宋体" w:hAnsi="宋体" w:cs="宋体"/>
                <w:color w:val="000000"/>
                <w:kern w:val="0"/>
                <w:sz w:val="30"/>
                <w:szCs w:val="30"/>
                <w:lang w:bidi="ar"/>
              </w:rPr>
              <w:t>一般公共预算财政拨款支出决算表</w:t>
            </w:r>
          </w:p>
        </w:tc>
      </w:tr>
      <w:tr>
        <w:tblPrEx>
          <w:tblCellMar>
            <w:top w:w="0" w:type="dxa"/>
            <w:left w:w="108" w:type="dxa"/>
            <w:bottom w:w="0" w:type="dxa"/>
            <w:right w:w="108" w:type="dxa"/>
          </w:tblCellMar>
        </w:tblPrEx>
        <w:trPr>
          <w:trHeight w:val="255" w:hRule="atLeast"/>
          <w:jc w:val="center"/>
        </w:trPr>
        <w:tc>
          <w:tcPr>
            <w:tcW w:w="32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0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1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9"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公开05表</w:t>
            </w:r>
          </w:p>
        </w:tc>
      </w:tr>
      <w:tr>
        <w:tblPrEx>
          <w:tblCellMar>
            <w:top w:w="0" w:type="dxa"/>
            <w:left w:w="108" w:type="dxa"/>
            <w:bottom w:w="0" w:type="dxa"/>
            <w:right w:w="108" w:type="dxa"/>
          </w:tblCellMar>
        </w:tblPrEx>
        <w:trPr>
          <w:trHeight w:val="255" w:hRule="atLeast"/>
          <w:jc w:val="center"/>
        </w:trPr>
        <w:tc>
          <w:tcPr>
            <w:tcW w:w="2059"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lang w:bidi="ar"/>
              </w:rPr>
              <w:t>部门：尉氏县职教中心</w:t>
            </w:r>
          </w:p>
        </w:tc>
        <w:tc>
          <w:tcPr>
            <w:tcW w:w="111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9"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294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w:t>
            </w:r>
          </w:p>
        </w:tc>
      </w:tr>
      <w:tr>
        <w:tblPrEx>
          <w:tblCellMar>
            <w:top w:w="0" w:type="dxa"/>
            <w:left w:w="108" w:type="dxa"/>
            <w:bottom w:w="0" w:type="dxa"/>
            <w:right w:w="108" w:type="dxa"/>
          </w:tblCellMar>
        </w:tblPrEx>
        <w:trPr>
          <w:trHeight w:val="312" w:hRule="atLeast"/>
          <w:jc w:val="center"/>
        </w:trPr>
        <w:tc>
          <w:tcPr>
            <w:tcW w:w="559"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1500"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11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88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93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r>
      <w:tr>
        <w:tblPrEx>
          <w:tblCellMar>
            <w:top w:w="0" w:type="dxa"/>
            <w:left w:w="108" w:type="dxa"/>
            <w:bottom w:w="0" w:type="dxa"/>
            <w:right w:w="108" w:type="dxa"/>
          </w:tblCellMar>
        </w:tblPrEx>
        <w:trPr>
          <w:trHeight w:val="312" w:hRule="atLeast"/>
          <w:jc w:val="center"/>
        </w:trPr>
        <w:tc>
          <w:tcPr>
            <w:tcW w:w="55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11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88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3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55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11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88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3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2059"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308" w:hRule="atLeast"/>
          <w:jc w:val="center"/>
        </w:trPr>
        <w:tc>
          <w:tcPr>
            <w:tcW w:w="2059"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1,220.00</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1,220.00</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教育支出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20503</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职业教育</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2050302</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中等职业教育</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1,036.24</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181.77</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2080502</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事业单位离退休</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1.76</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其他社会保障和就业支出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2089901</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其他社会保障和就业支出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180.01</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农林水支出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21305</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扶贫</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59"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2130599</w:t>
            </w:r>
          </w:p>
        </w:tc>
        <w:tc>
          <w:tcPr>
            <w:tcW w:w="150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其他扶贫支出</w:t>
            </w:r>
          </w:p>
        </w:tc>
        <w:tc>
          <w:tcPr>
            <w:tcW w:w="11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93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5000" w:type="pct"/>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注：本表反映部门本年度一般公共预算财政拨款支出情况。</w:t>
            </w:r>
          </w:p>
        </w:tc>
      </w:tr>
    </w:tbl>
    <w:p/>
    <w:tbl>
      <w:tblPr>
        <w:tblStyle w:val="4"/>
        <w:tblW w:w="4294" w:type="pct"/>
        <w:jc w:val="center"/>
        <w:tblLayout w:type="fixed"/>
        <w:tblCellMar>
          <w:top w:w="0" w:type="dxa"/>
          <w:left w:w="108" w:type="dxa"/>
          <w:bottom w:w="0" w:type="dxa"/>
          <w:right w:w="108" w:type="dxa"/>
        </w:tblCellMar>
      </w:tblPr>
      <w:tblGrid>
        <w:gridCol w:w="672"/>
        <w:gridCol w:w="904"/>
        <w:gridCol w:w="755"/>
        <w:gridCol w:w="659"/>
        <w:gridCol w:w="663"/>
        <w:gridCol w:w="2557"/>
        <w:gridCol w:w="793"/>
        <w:gridCol w:w="1346"/>
        <w:gridCol w:w="656"/>
        <w:gridCol w:w="656"/>
        <w:gridCol w:w="659"/>
        <w:gridCol w:w="1697"/>
      </w:tblGrid>
      <w:tr>
        <w:tblPrEx>
          <w:tblCellMar>
            <w:top w:w="0" w:type="dxa"/>
            <w:left w:w="108" w:type="dxa"/>
            <w:bottom w:w="0" w:type="dxa"/>
            <w:right w:w="108" w:type="dxa"/>
          </w:tblCellMar>
        </w:tblPrEx>
        <w:trPr>
          <w:trHeight w:val="540" w:hRule="atLeast"/>
          <w:jc w:val="center"/>
        </w:trPr>
        <w:tc>
          <w:tcPr>
            <w:tcW w:w="5000" w:type="pct"/>
            <w:gridSpan w:val="12"/>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44"/>
                <w:szCs w:val="44"/>
                <w:lang w:bidi="ar"/>
              </w:rPr>
              <w:t>一般公共预算财政拨款“三公”经费支出决算表</w:t>
            </w:r>
          </w:p>
        </w:tc>
      </w:tr>
      <w:tr>
        <w:tblPrEx>
          <w:tblCellMar>
            <w:top w:w="0" w:type="dxa"/>
            <w:left w:w="108" w:type="dxa"/>
            <w:bottom w:w="0" w:type="dxa"/>
            <w:right w:w="108" w:type="dxa"/>
          </w:tblCellMar>
        </w:tblPrEx>
        <w:trPr>
          <w:trHeight w:val="255" w:hRule="atLeast"/>
          <w:jc w:val="center"/>
        </w:trPr>
        <w:tc>
          <w:tcPr>
            <w:tcW w:w="28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7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7"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108" w:type="dxa"/>
            <w:bottom w:w="0" w:type="dxa"/>
            <w:right w:w="108" w:type="dxa"/>
          </w:tblCellMar>
        </w:tblPrEx>
        <w:trPr>
          <w:trHeight w:val="255" w:hRule="atLeast"/>
          <w:jc w:val="center"/>
        </w:trPr>
        <w:tc>
          <w:tcPr>
            <w:tcW w:w="1520" w:type="pct"/>
            <w:gridSpan w:val="5"/>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lang w:bidi="ar"/>
              </w:rPr>
              <w:t>部门：尉氏县职教中心</w:t>
            </w:r>
          </w:p>
        </w:tc>
        <w:tc>
          <w:tcPr>
            <w:tcW w:w="106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7"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25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预算数</w:t>
            </w:r>
          </w:p>
        </w:tc>
        <w:tc>
          <w:tcPr>
            <w:tcW w:w="241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r>
      <w:tr>
        <w:tblPrEx>
          <w:tblCellMar>
            <w:top w:w="0" w:type="dxa"/>
            <w:left w:w="108" w:type="dxa"/>
            <w:bottom w:w="0" w:type="dxa"/>
            <w:right w:w="108" w:type="dxa"/>
          </w:tblCellMar>
        </w:tblPrEx>
        <w:trPr>
          <w:trHeight w:val="308" w:hRule="atLeast"/>
          <w:jc w:val="center"/>
        </w:trPr>
        <w:tc>
          <w:tcPr>
            <w:tcW w:w="28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376"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因公出国（境）费</w:t>
            </w:r>
          </w:p>
        </w:tc>
        <w:tc>
          <w:tcPr>
            <w:tcW w:w="864" w:type="pct"/>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公务用车购置及运行费</w:t>
            </w:r>
          </w:p>
        </w:tc>
        <w:tc>
          <w:tcPr>
            <w:tcW w:w="1064"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公务接待费</w:t>
            </w:r>
          </w:p>
        </w:tc>
        <w:tc>
          <w:tcPr>
            <w:tcW w:w="33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56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因公出国（境）费</w:t>
            </w:r>
          </w:p>
        </w:tc>
        <w:tc>
          <w:tcPr>
            <w:tcW w:w="819" w:type="pct"/>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公务用车购置及运行费</w:t>
            </w:r>
          </w:p>
        </w:tc>
        <w:tc>
          <w:tcPr>
            <w:tcW w:w="70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公务接待费</w:t>
            </w:r>
          </w:p>
        </w:tc>
      </w:tr>
      <w:tr>
        <w:tblPrEx>
          <w:tblCellMar>
            <w:top w:w="0" w:type="dxa"/>
            <w:left w:w="108" w:type="dxa"/>
            <w:bottom w:w="0" w:type="dxa"/>
            <w:right w:w="108" w:type="dxa"/>
          </w:tblCellMar>
        </w:tblPrEx>
        <w:trPr>
          <w:trHeight w:val="615" w:hRule="atLeast"/>
          <w:jc w:val="center"/>
        </w:trPr>
        <w:tc>
          <w:tcPr>
            <w:tcW w:w="28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76"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1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27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公务用车购置费</w:t>
            </w:r>
          </w:p>
        </w:tc>
        <w:tc>
          <w:tcPr>
            <w:tcW w:w="27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公务用车运行费</w:t>
            </w:r>
          </w:p>
        </w:tc>
        <w:tc>
          <w:tcPr>
            <w:tcW w:w="106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3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6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7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27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公务用车购置费</w:t>
            </w:r>
          </w:p>
        </w:tc>
        <w:tc>
          <w:tcPr>
            <w:tcW w:w="27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公务用车运行费</w:t>
            </w:r>
          </w:p>
        </w:tc>
        <w:tc>
          <w:tcPr>
            <w:tcW w:w="70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28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37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31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27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276"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06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330"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560"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27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273"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274"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707"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308" w:hRule="atLeast"/>
          <w:jc w:val="center"/>
        </w:trPr>
        <w:tc>
          <w:tcPr>
            <w:tcW w:w="280"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1.90</w:t>
            </w:r>
          </w:p>
        </w:tc>
        <w:tc>
          <w:tcPr>
            <w:tcW w:w="37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1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w:t>
            </w: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7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w:t>
            </w:r>
          </w:p>
        </w:tc>
        <w:tc>
          <w:tcPr>
            <w:tcW w:w="106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0.80</w:t>
            </w:r>
          </w:p>
        </w:tc>
        <w:tc>
          <w:tcPr>
            <w:tcW w:w="33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0.52</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0.29</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0.29</w:t>
            </w:r>
          </w:p>
        </w:tc>
        <w:tc>
          <w:tcPr>
            <w:tcW w:w="7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0.23</w:t>
            </w:r>
          </w:p>
        </w:tc>
      </w:tr>
      <w:tr>
        <w:tblPrEx>
          <w:tblCellMar>
            <w:top w:w="0" w:type="dxa"/>
            <w:left w:w="108" w:type="dxa"/>
            <w:bottom w:w="0" w:type="dxa"/>
            <w:right w:w="108" w:type="dxa"/>
          </w:tblCellMar>
        </w:tblPrEx>
        <w:trPr>
          <w:trHeight w:val="615" w:hRule="atLeast"/>
          <w:jc w:val="center"/>
        </w:trPr>
        <w:tc>
          <w:tcPr>
            <w:tcW w:w="5000" w:type="pct"/>
            <w:gridSpan w:val="12"/>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注：本表反映部门本年度“三公”经费支出预决算情况。其中，预算数为“三公”经费年初预算数；决算数是包括当年一般公共预算财政拨款和以前年度结转资金安排的实际支出。</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0" w:type="auto"/>
        <w:jc w:val="center"/>
        <w:tblLayout w:type="fixed"/>
        <w:tblCellMar>
          <w:top w:w="0" w:type="dxa"/>
          <w:left w:w="0" w:type="dxa"/>
          <w:bottom w:w="0" w:type="dxa"/>
          <w:right w:w="0" w:type="dxa"/>
        </w:tblCellMar>
      </w:tblPr>
      <w:tblGrid>
        <w:gridCol w:w="612"/>
        <w:gridCol w:w="536"/>
        <w:gridCol w:w="1276"/>
        <w:gridCol w:w="1926"/>
        <w:gridCol w:w="1926"/>
        <w:gridCol w:w="1536"/>
        <w:gridCol w:w="1559"/>
        <w:gridCol w:w="1926"/>
        <w:gridCol w:w="1933"/>
      </w:tblGrid>
      <w:tr>
        <w:tblPrEx>
          <w:tblCellMar>
            <w:top w:w="0" w:type="dxa"/>
            <w:left w:w="0" w:type="dxa"/>
            <w:bottom w:w="0" w:type="dxa"/>
            <w:right w:w="0" w:type="dxa"/>
          </w:tblCellMar>
        </w:tblPrEx>
        <w:trPr>
          <w:trHeight w:val="600" w:hRule="atLeast"/>
          <w:jc w:val="center"/>
        </w:trPr>
        <w:tc>
          <w:tcPr>
            <w:tcW w:w="13230"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jc w:val="center"/>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53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55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jc w:val="center"/>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尉氏县职业技术教育中心</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53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559"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jc w:val="center"/>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w:t>
            </w:r>
          </w:p>
        </w:tc>
        <w:tc>
          <w:tcPr>
            <w:tcW w:w="5021"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jc w:val="center"/>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55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jc w:val="center"/>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5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5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jc w:val="center"/>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jc w:val="center"/>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0" w:type="dxa"/>
            <w:bottom w:w="0" w:type="dxa"/>
            <w:right w:w="0" w:type="dxa"/>
          </w:tblCellMar>
        </w:tblPrEx>
        <w:trPr>
          <w:trHeight w:val="450" w:hRule="atLeast"/>
          <w:jc w:val="center"/>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0" w:type="dxa"/>
            <w:bottom w:w="0" w:type="dxa"/>
            <w:right w:w="0" w:type="dxa"/>
          </w:tblCellMar>
        </w:tblPrEx>
        <w:trPr>
          <w:trHeight w:val="450" w:hRule="atLeast"/>
          <w:jc w:val="center"/>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0" w:type="dxa"/>
            <w:bottom w:w="0" w:type="dxa"/>
            <w:right w:w="0" w:type="dxa"/>
          </w:tblCellMar>
        </w:tblPrEx>
        <w:trPr>
          <w:trHeight w:val="450" w:hRule="atLeast"/>
          <w:jc w:val="center"/>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0" w:type="dxa"/>
            <w:bottom w:w="0" w:type="dxa"/>
            <w:right w:w="0" w:type="dxa"/>
          </w:tblCellMar>
        </w:tblPrEx>
        <w:trPr>
          <w:trHeight w:val="450" w:hRule="atLeast"/>
          <w:jc w:val="center"/>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0.00</w:t>
            </w:r>
          </w:p>
        </w:tc>
      </w:tr>
      <w:tr>
        <w:tblPrEx>
          <w:tblCellMar>
            <w:top w:w="0" w:type="dxa"/>
            <w:left w:w="0" w:type="dxa"/>
            <w:bottom w:w="0" w:type="dxa"/>
            <w:right w:w="0" w:type="dxa"/>
          </w:tblCellMar>
        </w:tblPrEx>
        <w:trPr>
          <w:trHeight w:val="645" w:hRule="atLeast"/>
          <w:jc w:val="center"/>
        </w:trPr>
        <w:tc>
          <w:tcPr>
            <w:tcW w:w="13230"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2020年度收、支总计均为1259.07万元。与上年度相比，收、支总计各减少466.12万元，下降</w:t>
      </w:r>
      <w:r>
        <w:rPr>
          <w:rFonts w:ascii="仿宋_GB2312" w:hAnsi="仿宋_GB2312" w:eastAsia="仿宋_GB2312" w:cs="仿宋_GB2312"/>
          <w:sz w:val="32"/>
          <w:szCs w:val="32"/>
        </w:rPr>
        <w:t>27.02</w:t>
      </w:r>
      <w:r>
        <w:rPr>
          <w:rFonts w:hint="eastAsia" w:ascii="仿宋_GB2312" w:hAnsi="仿宋_GB2312" w:eastAsia="仿宋_GB2312" w:cs="仿宋_GB2312"/>
          <w:sz w:val="32"/>
          <w:szCs w:val="32"/>
        </w:rPr>
        <w:t xml:space="preserve"> %。主要原因是:上</w:t>
      </w:r>
      <w:r>
        <w:rPr>
          <w:rFonts w:ascii="仿宋_GB2312" w:hAnsi="仿宋_GB2312" w:eastAsia="仿宋_GB2312" w:cs="仿宋_GB2312"/>
          <w:sz w:val="32"/>
          <w:szCs w:val="32"/>
        </w:rPr>
        <w:t>年有补发历史拖欠工资，</w:t>
      </w:r>
      <w:r>
        <w:rPr>
          <w:rFonts w:hint="eastAsia" w:ascii="仿宋_GB2312" w:hAnsi="仿宋_GB2312" w:eastAsia="仿宋_GB2312" w:cs="仿宋_GB2312"/>
          <w:sz w:val="32"/>
          <w:szCs w:val="32"/>
        </w:rPr>
        <w:t>办公费用缩减，创建节约型机关单位。</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2020年度收入合计1127.7万元，其中：财政拨款收入1105.81万元，占98</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 ；上级补助收入0.00万元，占0.00%；事业收入21.89万元，占</w:t>
      </w:r>
      <w:r>
        <w:rPr>
          <w:rFonts w:ascii="仿宋_GB2312" w:hAnsi="仿宋_GB2312" w:eastAsia="仿宋_GB2312" w:cs="仿宋_GB2312"/>
          <w:sz w:val="32"/>
          <w:szCs w:val="32"/>
        </w:rPr>
        <w:t>1.94</w:t>
      </w:r>
      <w:r>
        <w:rPr>
          <w:rFonts w:hint="eastAsia" w:ascii="仿宋_GB2312" w:hAnsi="仿宋_GB2312" w:eastAsia="仿宋_GB2312" w:cs="仿宋_GB2312"/>
          <w:sz w:val="32"/>
          <w:szCs w:val="32"/>
        </w:rPr>
        <w:t>%；经营收入万元，占0.00%；附属单位上缴收0.00万元，占0.00%；其他收入0.00万元，占0.00%。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2020年度支出合计1241.89万元，其中：基本支出1241.89万元，占100%；项目支出0.00万元，占0.00%；上缴上级支出0.00万元，占0.00%；经营支出0.00万元，占0.00%；对附属单位补助支出0.00万元，占0.00%。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2020年度财政拨款收、支总计均为1237.18万元。与上年度相比，财政拨款收、支总计各减少</w:t>
      </w:r>
      <w:r>
        <w:rPr>
          <w:rFonts w:ascii="仿宋_GB2312" w:hAnsi="仿宋_GB2312" w:eastAsia="仿宋_GB2312" w:cs="仿宋_GB2312"/>
          <w:sz w:val="32"/>
          <w:szCs w:val="32"/>
        </w:rPr>
        <w:t>401</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24.48</w:t>
      </w:r>
      <w:r>
        <w:rPr>
          <w:rFonts w:hint="eastAsia" w:ascii="仿宋_GB2312" w:hAnsi="仿宋_GB2312" w:eastAsia="仿宋_GB2312" w:cs="仿宋_GB2312"/>
          <w:sz w:val="32"/>
          <w:szCs w:val="32"/>
        </w:rPr>
        <w:t>%。主要原因是：上年有补发历史拖欠工资，办公费用缩减，创建节约型机关单位。</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2020年度一般公共预算财政拨款支出1220万元，占本年支出合计的</w:t>
      </w:r>
      <w:r>
        <w:rPr>
          <w:rFonts w:ascii="仿宋_GB2312" w:hAnsi="仿宋_GB2312" w:eastAsia="仿宋_GB2312" w:cs="仿宋_GB2312"/>
          <w:sz w:val="32"/>
          <w:szCs w:val="32"/>
        </w:rPr>
        <w:t>98.24</w:t>
      </w:r>
      <w:r>
        <w:rPr>
          <w:rFonts w:hint="eastAsia" w:ascii="仿宋_GB2312" w:hAnsi="仿宋_GB2312" w:eastAsia="仿宋_GB2312" w:cs="仿宋_GB2312"/>
          <w:sz w:val="32"/>
          <w:szCs w:val="32"/>
        </w:rPr>
        <w:t>%。与上年度相比，一般公共预算财政拨款支出减少 10.59万元，下降18.76%，主要原因是办公费用缩减，创建节约型机关单位。</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 1220万元，主要用于以下方面：教育支出（类）支出1036.24 万元，占85.00 %；社会保障和就业支出（类）支出181.77万元，占14.9%；农林水支出2万元，占0.1%。</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sz w:val="32"/>
          <w:szCs w:val="32"/>
        </w:rPr>
        <w:t>749.2583</w:t>
      </w:r>
      <w:r>
        <w:rPr>
          <w:rFonts w:hint="eastAsia" w:ascii="仿宋_GB2312" w:hAnsi="仿宋_GB2312" w:eastAsia="仿宋_GB2312" w:cs="仿宋_GB2312"/>
          <w:sz w:val="32"/>
          <w:szCs w:val="32"/>
        </w:rPr>
        <w:t>万元，支出决算为1220万元，完成年初预算的</w:t>
      </w:r>
      <w:r>
        <w:rPr>
          <w:rFonts w:ascii="仿宋_GB2312" w:hAnsi="仿宋_GB2312" w:eastAsia="仿宋_GB2312" w:cs="仿宋_GB2312"/>
          <w:sz w:val="32"/>
          <w:szCs w:val="32"/>
        </w:rPr>
        <w:t>162.83</w:t>
      </w:r>
      <w:r>
        <w:rPr>
          <w:rFonts w:hint="eastAsia" w:ascii="仿宋_GB2312" w:hAnsi="仿宋_GB2312" w:eastAsia="仿宋_GB2312" w:cs="仿宋_GB2312"/>
          <w:sz w:val="32"/>
          <w:szCs w:val="32"/>
        </w:rPr>
        <w:t xml:space="preserve"> %。</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楷体_GB2312" w:eastAsia="楷体_GB2312"/>
          <w:b/>
          <w:sz w:val="32"/>
          <w:szCs w:val="48"/>
        </w:rPr>
        <w:t>教育支出</w:t>
      </w:r>
      <w:r>
        <w:rPr>
          <w:rFonts w:hint="eastAsia" w:ascii="仿宋_GB2312" w:hAnsi="仿宋_GB2312" w:eastAsia="仿宋_GB2312" w:cs="仿宋_GB2312"/>
          <w:b/>
          <w:bCs/>
          <w:sz w:val="32"/>
          <w:szCs w:val="32"/>
        </w:rPr>
        <w:t>（类）</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（类）职业教育（款）中等职业教育（项）。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608.6483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1036.24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。决算数大于年初预算数的主要原因是：年初预算汇总统计教育支出-中等职业教育（2050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608.6483</w:t>
      </w:r>
      <w:r>
        <w:rPr>
          <w:rFonts w:hint="eastAsia" w:ascii="仿宋_GB2312" w:hAnsi="仿宋_GB2312" w:eastAsia="仿宋_GB2312" w:cs="仿宋_GB2312"/>
          <w:sz w:val="32"/>
          <w:szCs w:val="32"/>
        </w:rPr>
        <w:t>万元，初预算已安排但未细分到中等职业教育些款项，年终再分配调整预算，还有</w:t>
      </w:r>
      <w:r>
        <w:rPr>
          <w:rFonts w:ascii="仿宋_GB2312" w:hAnsi="仿宋_GB2312" w:eastAsia="仿宋_GB2312" w:cs="仿宋_GB2312"/>
          <w:sz w:val="32"/>
          <w:szCs w:val="32"/>
        </w:rPr>
        <w:t>2020年决算数据包含</w:t>
      </w:r>
      <w:r>
        <w:rPr>
          <w:rFonts w:hint="eastAsia" w:ascii="仿宋_GB2312" w:hAnsi="仿宋_GB2312" w:eastAsia="仿宋_GB2312" w:cs="仿宋_GB2312"/>
          <w:sz w:val="32"/>
          <w:szCs w:val="32"/>
        </w:rPr>
        <w:t>生均</w:t>
      </w:r>
      <w:r>
        <w:rPr>
          <w:rFonts w:ascii="仿宋_GB2312" w:hAnsi="仿宋_GB2312" w:eastAsia="仿宋_GB2312" w:cs="仿宋_GB2312"/>
          <w:sz w:val="32"/>
          <w:szCs w:val="32"/>
        </w:rPr>
        <w:t>公用经费支出</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（类）行政事业单位离退休（款）事业单位离退休（项）。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0.72</w:t>
      </w:r>
      <w:r>
        <w:rPr>
          <w:rFonts w:hint="eastAsia" w:ascii="仿宋_GB2312" w:hAnsi="仿宋_GB2312" w:eastAsia="仿宋_GB2312" w:cs="仿宋_GB2312"/>
          <w:sz w:val="32"/>
          <w:szCs w:val="32"/>
        </w:rPr>
        <w:t xml:space="preserve"> 万元，支出决算为 1.76万元，完成年初预算的 </w:t>
      </w:r>
      <w:r>
        <w:rPr>
          <w:rFonts w:ascii="仿宋_GB2312" w:hAnsi="仿宋_GB2312" w:eastAsia="仿宋_GB2312" w:cs="仿宋_GB2312"/>
          <w:sz w:val="32"/>
          <w:szCs w:val="32"/>
        </w:rPr>
        <w:t>244.44</w:t>
      </w:r>
      <w:r>
        <w:rPr>
          <w:rFonts w:hint="eastAsia" w:ascii="仿宋_GB2312" w:hAnsi="仿宋_GB2312" w:eastAsia="仿宋_GB2312" w:cs="仿宋_GB2312"/>
          <w:sz w:val="32"/>
          <w:szCs w:val="32"/>
        </w:rPr>
        <w:t xml:space="preserve"> %。主要差异原因是：支出有上年结转经费。</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（类）其他社会保障和就业（款）其他社会保障和就业（项）。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104.0208</w:t>
      </w:r>
      <w:r>
        <w:rPr>
          <w:rFonts w:hint="eastAsia" w:ascii="仿宋_GB2312" w:hAnsi="仿宋_GB2312" w:eastAsia="仿宋_GB2312" w:cs="仿宋_GB2312"/>
          <w:sz w:val="32"/>
          <w:szCs w:val="32"/>
        </w:rPr>
        <w:t xml:space="preserve"> 万元，支出决算为180.01元，完成年初预算的 </w:t>
      </w:r>
      <w:r>
        <w:rPr>
          <w:rFonts w:ascii="仿宋_GB2312" w:hAnsi="仿宋_GB2312" w:eastAsia="仿宋_GB2312" w:cs="仿宋_GB2312"/>
          <w:sz w:val="32"/>
          <w:szCs w:val="32"/>
        </w:rPr>
        <w:t>173.05</w:t>
      </w:r>
      <w:r>
        <w:rPr>
          <w:rFonts w:hint="eastAsia" w:ascii="仿宋_GB2312" w:hAnsi="仿宋_GB2312" w:eastAsia="仿宋_GB2312" w:cs="仿宋_GB2312"/>
          <w:sz w:val="32"/>
          <w:szCs w:val="32"/>
        </w:rPr>
        <w:t xml:space="preserve"> %。主要差异原因是：人员结构变化。</w:t>
      </w:r>
    </w:p>
    <w:p>
      <w:pPr>
        <w:widowControl/>
        <w:spacing w:line="590" w:lineRule="exact"/>
        <w:ind w:left="64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ascii="仿宋_GB2312" w:hAnsi="仿宋_GB2312" w:eastAsia="仿宋_GB2312" w:cs="仿宋_GB2312"/>
          <w:sz w:val="32"/>
          <w:szCs w:val="32"/>
        </w:rPr>
        <w:t>1220</w:t>
      </w:r>
      <w:r>
        <w:rPr>
          <w:rFonts w:hint="eastAsia" w:ascii="仿宋_GB2312" w:hAnsi="仿宋_GB2312" w:eastAsia="仿宋_GB2312" w:cs="仿宋_GB2312"/>
          <w:sz w:val="32"/>
          <w:szCs w:val="32"/>
        </w:rPr>
        <w:t>万元。其中：人员经费1020.52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199.48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2020年度“三公”经费财政拨款支出预算为1.90万元，支出决算为0.52万元，完成预算的27%。</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2020年度“三公”经费支出决算数与预算数存在差异的主要原因是主要压缩“三公”经费支出。</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2020年度“三公”经费财政拨款支出决算中，因公出国（境）费支出决算0.00万元，完成预算的0.00%，占0.00%；公务用车购置及运行费支出决算0.29万元，完成预算的26.3%，占52%；公务接待费支出决算 0.23 万元，完成预算的20.97%，占28.7%。具体情况如下：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预算为1.1万元，支出决算为0.29万元。其中：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为0万元，购置车辆0辆，其中0车0辆。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0.29万元。2020年期末，部门开支财政拨款的公务用车保有量为1辆。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预算为0.8万元，支出决算为0.23万元，完成预算的28.7%。。</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其他国内公务接待支出 </w:t>
      </w:r>
      <w:r>
        <w:rPr>
          <w:rFonts w:hint="eastAsia" w:ascii="仿宋_GB2312" w:hAnsi="仿宋_GB2312" w:eastAsia="仿宋_GB2312" w:cs="仿宋_GB2312"/>
          <w:sz w:val="32"/>
          <w:szCs w:val="32"/>
        </w:rPr>
        <w:t>0万元。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1、根据财政部统一要求2020对0个项目开展项目自评； 2021年对0个项目开展了绩效监控。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JsiXRAAAAAwEAAA8AAAAAAAAAAQAgAAAAIgAAAGRycy9kb3ducmV2Lnht&#10;bFBLAQIUABQAAAAIAIdO4kB+hX1wxwEAAIsDAAAOAAAAAAAAAAEAIAAAACA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24EFA45C"/>
    <w:multiLevelType w:val="singleLevel"/>
    <w:tmpl w:val="24EFA45C"/>
    <w:lvl w:ilvl="0" w:tentative="0">
      <w:start w:val="2"/>
      <w:numFmt w:val="decimal"/>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MDg3NDQ4ZmZjYTQzNjQ3MzJjZTkzZmQwNDYifQ=="/>
  </w:docVars>
  <w:rsids>
    <w:rsidRoot w:val="06112BD0"/>
    <w:rsid w:val="001C3D39"/>
    <w:rsid w:val="00282E0F"/>
    <w:rsid w:val="00287C44"/>
    <w:rsid w:val="00463972"/>
    <w:rsid w:val="005C3085"/>
    <w:rsid w:val="006C518F"/>
    <w:rsid w:val="00823759"/>
    <w:rsid w:val="00896ACD"/>
    <w:rsid w:val="008D6017"/>
    <w:rsid w:val="00B364FE"/>
    <w:rsid w:val="00C04BD9"/>
    <w:rsid w:val="03F9204E"/>
    <w:rsid w:val="04822E5C"/>
    <w:rsid w:val="06112BD0"/>
    <w:rsid w:val="078B22AC"/>
    <w:rsid w:val="080859A6"/>
    <w:rsid w:val="08F50BF9"/>
    <w:rsid w:val="09687E9D"/>
    <w:rsid w:val="0BDD50F5"/>
    <w:rsid w:val="0DAE1B6F"/>
    <w:rsid w:val="101664B1"/>
    <w:rsid w:val="11AB30E1"/>
    <w:rsid w:val="13273F8C"/>
    <w:rsid w:val="14293CDB"/>
    <w:rsid w:val="1837038F"/>
    <w:rsid w:val="1A8A7071"/>
    <w:rsid w:val="1B706E8B"/>
    <w:rsid w:val="1E5E590D"/>
    <w:rsid w:val="1F7D60C4"/>
    <w:rsid w:val="216B6AA8"/>
    <w:rsid w:val="21C40BA6"/>
    <w:rsid w:val="22012C0F"/>
    <w:rsid w:val="23037C94"/>
    <w:rsid w:val="267743C3"/>
    <w:rsid w:val="285F5A45"/>
    <w:rsid w:val="286F2FA1"/>
    <w:rsid w:val="2C306C23"/>
    <w:rsid w:val="3A0262EA"/>
    <w:rsid w:val="3AF06A12"/>
    <w:rsid w:val="3E075940"/>
    <w:rsid w:val="3EA0189E"/>
    <w:rsid w:val="40BE7E6B"/>
    <w:rsid w:val="44AF77DE"/>
    <w:rsid w:val="4543149A"/>
    <w:rsid w:val="45C80F87"/>
    <w:rsid w:val="472B6759"/>
    <w:rsid w:val="482932A2"/>
    <w:rsid w:val="49411452"/>
    <w:rsid w:val="4A0C503C"/>
    <w:rsid w:val="4AF97903"/>
    <w:rsid w:val="4B1E7AAF"/>
    <w:rsid w:val="4CEB5BE0"/>
    <w:rsid w:val="4E0B3EC7"/>
    <w:rsid w:val="504209D1"/>
    <w:rsid w:val="504B1906"/>
    <w:rsid w:val="51116768"/>
    <w:rsid w:val="51D83EA8"/>
    <w:rsid w:val="52C362FF"/>
    <w:rsid w:val="53135EC1"/>
    <w:rsid w:val="55380785"/>
    <w:rsid w:val="55F6285D"/>
    <w:rsid w:val="56437F23"/>
    <w:rsid w:val="56E75C12"/>
    <w:rsid w:val="57160908"/>
    <w:rsid w:val="57EE3FF7"/>
    <w:rsid w:val="5D4E364F"/>
    <w:rsid w:val="5F3E059F"/>
    <w:rsid w:val="60A07F66"/>
    <w:rsid w:val="60B14CFC"/>
    <w:rsid w:val="62873F8A"/>
    <w:rsid w:val="62E00970"/>
    <w:rsid w:val="62E27587"/>
    <w:rsid w:val="68362C8D"/>
    <w:rsid w:val="68EA39A3"/>
    <w:rsid w:val="6C7D4B2E"/>
    <w:rsid w:val="6D104721"/>
    <w:rsid w:val="6D774E12"/>
    <w:rsid w:val="6DEF556F"/>
    <w:rsid w:val="710A0FA8"/>
    <w:rsid w:val="72366041"/>
    <w:rsid w:val="73144BF9"/>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6540</Words>
  <Characters>8659</Characters>
  <Lines>72</Lines>
  <Paragraphs>20</Paragraphs>
  <TotalTime>42</TotalTime>
  <ScaleCrop>false</ScaleCrop>
  <LinksUpToDate>false</LinksUpToDate>
  <CharactersWithSpaces>8743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2021-09-13T09:04:00Z</dcterms:created>
  <dc:creator>Administrator</dc:creator>
  <cp:lastModifiedBy>尉氏县</cp:lastModifiedBy>
  <dcterms:modified xsi:type="dcterms:W3CDTF">2022-08-28T22:17:16Z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