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尉氏县实验初级中学部门决算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w:t>
      </w:r>
      <w:r>
        <w:rPr>
          <w:rFonts w:hint="eastAsia" w:ascii="黑体" w:hAnsi="黑体" w:eastAsia="黑体"/>
          <w:sz w:val="32"/>
          <w:szCs w:val="32"/>
        </w:rPr>
        <w:t>实验初级中学</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尉氏县实验初级中学</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（一）负责贯彻党的教育方针，坚持社会主义办学方向，实行教育与生产劳动相结合，对学生进行德育、智育、体育、美育和劳动等方面的教育。</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（二）负责依法制定学校章程，并按照章程自主管理。</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（三）负责配合各级人民政府依法动员、组织适龄儿童、少年入学，严格控制学生辍学，依法保证适龄儿童、少年接受九年义务教育。</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（四）负责制定学校教育发展规划，并抓好组织实施和落实工作。</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（五）负责按照教育主管部门发布的指导性教学计划、教学大纲，组织实施教育教学活动。</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（六）负责依据国家教育部门有关教学计划、课程设置等方面的规定，决定和实施本校的教学计划，组织教学评比、集体评课，对学生进行统一考核、考试等。</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（七）负责学籍管理，并对学生实施奖励或处分。</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（八）负责依法制定本校教师及其他职工出任办法并对教师及其他员工实施包括奖励、处分在内的具体管理活动，依法聘任、解聘有关教师和其他职工。</w:t>
      </w:r>
      <w:r>
        <w:rPr>
          <w:rFonts w:hint="eastAsia" w:ascii="等线" w:hAnsi="等线" w:eastAsia="等线" w:cs="宋体"/>
          <w:color w:val="000000"/>
          <w:kern w:val="0"/>
          <w:sz w:val="32"/>
          <w:szCs w:val="32"/>
        </w:rPr>
        <w:t> </w:t>
      </w:r>
    </w:p>
    <w:p>
      <w:pPr>
        <w:widowControl/>
        <w:shd w:val="clear" w:color="auto" w:fill="FFFFFF"/>
        <w:spacing w:line="346" w:lineRule="atLeast"/>
        <w:ind w:firstLine="648"/>
        <w:rPr>
          <w:rFonts w:ascii="等线" w:hAnsi="等线" w:eastAsia="等线" w:cs="宋体"/>
          <w:color w:val="333333"/>
          <w:kern w:val="0"/>
          <w:sz w:val="32"/>
          <w:szCs w:val="32"/>
        </w:rPr>
      </w:pPr>
      <w:r>
        <w:rPr>
          <w:rFonts w:hint="eastAsia" w:ascii="宋体" w:hAnsi="宋体" w:cs="宋体"/>
          <w:color w:val="000000"/>
          <w:kern w:val="0"/>
          <w:sz w:val="32"/>
          <w:szCs w:val="32"/>
        </w:rPr>
        <w:t>（九）负责聘任、培训、考核教师，依法奖励或处分教师和其他职工。</w:t>
      </w:r>
      <w:r>
        <w:rPr>
          <w:rFonts w:hint="eastAsia" w:ascii="等线" w:hAnsi="等线" w:eastAsia="等线" w:cs="宋体"/>
          <w:color w:val="000000"/>
          <w:kern w:val="0"/>
          <w:sz w:val="32"/>
          <w:szCs w:val="32"/>
        </w:rPr>
        <w:t> </w:t>
      </w:r>
    </w:p>
    <w:p>
      <w:pPr>
        <w:widowControl/>
        <w:ind w:firstLine="640" w:firstLineChars="200"/>
        <w:jc w:val="left"/>
        <w:outlineLvl w:val="1"/>
        <w:rPr>
          <w:rFonts w:ascii="仿宋_GB2312" w:hAnsi="仿宋_GB2312" w:eastAsia="仿宋_GB2312" w:cs="仿宋_GB2312"/>
          <w:color w:val="000000"/>
          <w:sz w:val="32"/>
          <w:szCs w:val="32"/>
        </w:rPr>
      </w:pPr>
      <w:r>
        <w:rPr>
          <w:rFonts w:hint="eastAsia" w:ascii="宋体" w:hAnsi="宋体" w:cs="宋体"/>
          <w:color w:val="000000"/>
          <w:kern w:val="0"/>
          <w:sz w:val="32"/>
          <w:szCs w:val="32"/>
        </w:rPr>
        <w:t>（十）负责科学管理、合理使用学校的设施和经费，并积极筹措资金，改善办学条件。</w:t>
      </w:r>
      <w:r>
        <w:rPr>
          <w:rFonts w:hint="eastAsia" w:ascii="等线" w:hAnsi="等线" w:eastAsia="等线" w:cs="宋体"/>
          <w:color w:val="000000"/>
          <w:kern w:val="0"/>
          <w:sz w:val="32"/>
          <w:szCs w:val="32"/>
        </w:rPr>
        <w:t> </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pStyle w:val="2"/>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内设机构包括：校长室、副校长室、办公室、财务室、教务处、德育处、总务处等。</w:t>
      </w:r>
    </w:p>
    <w:p>
      <w:pPr>
        <w:pStyle w:val="2"/>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2020年部门决算汇总公开单位构成</w:t>
      </w:r>
      <w:r>
        <w:rPr>
          <w:rFonts w:hint="eastAsia" w:ascii="仿宋" w:hAnsi="仿宋" w:eastAsia="仿宋" w:cs="仿宋"/>
        </w:rPr>
        <w:t>只</w:t>
      </w:r>
      <w:r>
        <w:rPr>
          <w:rFonts w:ascii="仿宋" w:hAnsi="仿宋" w:eastAsia="仿宋" w:cs="仿宋"/>
        </w:rPr>
        <w:t>包括</w:t>
      </w:r>
      <w:r>
        <w:rPr>
          <w:rFonts w:hint="eastAsia" w:ascii="仿宋" w:hAnsi="仿宋" w:eastAsia="仿宋" w:cs="仿宋"/>
        </w:rPr>
        <w:t>本级单位，无二级机构。</w:t>
      </w:r>
      <w:r>
        <w:rPr>
          <w:rFonts w:ascii="仿宋" w:hAnsi="仿宋" w:eastAsia="仿宋" w:cs="仿宋"/>
          <w:kern w:val="0"/>
          <w:lang w:bidi="zh-CN"/>
        </w:rPr>
        <w:t xml:space="preserve"> </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2049" w:type="dxa"/>
        <w:jc w:val="center"/>
        <w:tblLayout w:type="autofit"/>
        <w:tblCellMar>
          <w:top w:w="0" w:type="dxa"/>
          <w:left w:w="108" w:type="dxa"/>
          <w:bottom w:w="0" w:type="dxa"/>
          <w:right w:w="108" w:type="dxa"/>
        </w:tblCellMar>
      </w:tblPr>
      <w:tblGrid>
        <w:gridCol w:w="3828"/>
        <w:gridCol w:w="580"/>
        <w:gridCol w:w="1404"/>
        <w:gridCol w:w="3686"/>
        <w:gridCol w:w="580"/>
        <w:gridCol w:w="1971"/>
      </w:tblGrid>
      <w:tr>
        <w:tblPrEx>
          <w:tblCellMar>
            <w:top w:w="0" w:type="dxa"/>
            <w:left w:w="108" w:type="dxa"/>
            <w:bottom w:w="0" w:type="dxa"/>
            <w:right w:w="108" w:type="dxa"/>
          </w:tblCellMar>
        </w:tblPrEx>
        <w:trPr>
          <w:trHeight w:val="390" w:hRule="atLeast"/>
          <w:jc w:val="center"/>
        </w:trPr>
        <w:tc>
          <w:tcPr>
            <w:tcW w:w="12049" w:type="dxa"/>
            <w:gridSpan w:val="6"/>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jc w:val="center"/>
        </w:trPr>
        <w:tc>
          <w:tcPr>
            <w:tcW w:w="382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0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68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971"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jc w:val="center"/>
        </w:trPr>
        <w:tc>
          <w:tcPr>
            <w:tcW w:w="3828"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40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68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971"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5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623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1,152.65</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1,152.65</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1,114.79</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37.25</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75.11</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8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1,189.89</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1,189.89</w:t>
            </w:r>
          </w:p>
        </w:tc>
      </w:tr>
      <w:tr>
        <w:tblPrEx>
          <w:tblCellMar>
            <w:top w:w="0" w:type="dxa"/>
            <w:left w:w="108" w:type="dxa"/>
            <w:bottom w:w="0" w:type="dxa"/>
            <w:right w:w="108" w:type="dxa"/>
          </w:tblCellMar>
        </w:tblPrEx>
        <w:trPr>
          <w:trHeight w:val="308" w:hRule="atLeast"/>
          <w:jc w:val="center"/>
        </w:trPr>
        <w:tc>
          <w:tcPr>
            <w:tcW w:w="12049" w:type="dxa"/>
            <w:gridSpan w:val="6"/>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
      <w:pPr>
        <w:widowControl/>
        <w:jc w:val="left"/>
        <w:rPr>
          <w:rFonts w:ascii="仿宋_GB2312" w:hAnsi="仿宋_GB2312" w:eastAsia="仿宋_GB2312" w:cs="仿宋_GB2312"/>
          <w:sz w:val="32"/>
          <w:szCs w:val="32"/>
        </w:rPr>
      </w:pP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5"/>
        <w:tblW w:w="14043" w:type="dxa"/>
        <w:jc w:val="center"/>
        <w:tblLayout w:type="autofit"/>
        <w:tblCellMar>
          <w:top w:w="0" w:type="dxa"/>
          <w:left w:w="108" w:type="dxa"/>
          <w:bottom w:w="0" w:type="dxa"/>
          <w:right w:w="108" w:type="dxa"/>
        </w:tblCellMar>
      </w:tblPr>
      <w:tblGrid>
        <w:gridCol w:w="1020"/>
        <w:gridCol w:w="256"/>
        <w:gridCol w:w="84"/>
        <w:gridCol w:w="236"/>
        <w:gridCol w:w="2657"/>
        <w:gridCol w:w="319"/>
        <w:gridCol w:w="1240"/>
        <w:gridCol w:w="319"/>
        <w:gridCol w:w="957"/>
        <w:gridCol w:w="319"/>
        <w:gridCol w:w="815"/>
        <w:gridCol w:w="319"/>
        <w:gridCol w:w="1098"/>
        <w:gridCol w:w="319"/>
        <w:gridCol w:w="815"/>
        <w:gridCol w:w="319"/>
        <w:gridCol w:w="1099"/>
        <w:gridCol w:w="319"/>
        <w:gridCol w:w="1481"/>
        <w:gridCol w:w="52"/>
      </w:tblGrid>
      <w:tr>
        <w:tblPrEx>
          <w:tblCellMar>
            <w:top w:w="0" w:type="dxa"/>
            <w:left w:w="108" w:type="dxa"/>
            <w:bottom w:w="0" w:type="dxa"/>
            <w:right w:w="108" w:type="dxa"/>
          </w:tblCellMar>
        </w:tblPrEx>
        <w:trPr>
          <w:trHeight w:val="390" w:hRule="atLeast"/>
          <w:jc w:val="center"/>
        </w:trPr>
        <w:tc>
          <w:tcPr>
            <w:tcW w:w="14043" w:type="dxa"/>
            <w:gridSpan w:val="2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jc w:val="center"/>
        </w:trPr>
        <w:tc>
          <w:tcPr>
            <w:tcW w:w="10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7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33"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gridAfter w:val="1"/>
          <w:wAfter w:w="52" w:type="dxa"/>
          <w:trHeight w:val="255" w:hRule="atLeast"/>
          <w:jc w:val="center"/>
        </w:trPr>
        <w:tc>
          <w:tcPr>
            <w:tcW w:w="4253" w:type="dxa"/>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1559"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27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52" w:type="dxa"/>
          <w:trHeight w:val="308" w:hRule="atLeast"/>
          <w:jc w:val="center"/>
        </w:trPr>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55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27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41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41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gridAfter w:val="1"/>
          <w:wAfter w:w="52" w:type="dxa"/>
          <w:trHeight w:val="312" w:hRule="atLeast"/>
          <w:jc w:val="center"/>
        </w:trPr>
        <w:tc>
          <w:tcPr>
            <w:tcW w:w="127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977"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559"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2" w:type="dxa"/>
          <w:trHeight w:val="312" w:hRule="atLeast"/>
          <w:jc w:val="center"/>
        </w:trPr>
        <w:tc>
          <w:tcPr>
            <w:tcW w:w="127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7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2" w:type="dxa"/>
          <w:trHeight w:val="312" w:hRule="atLeast"/>
          <w:jc w:val="center"/>
        </w:trPr>
        <w:tc>
          <w:tcPr>
            <w:tcW w:w="127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7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2" w:type="dxa"/>
          <w:trHeight w:val="308" w:hRule="atLeast"/>
          <w:jc w:val="center"/>
        </w:trPr>
        <w:tc>
          <w:tcPr>
            <w:tcW w:w="425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1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gridAfter w:val="1"/>
          <w:wAfter w:w="52" w:type="dxa"/>
          <w:trHeight w:val="308" w:hRule="atLeast"/>
          <w:jc w:val="center"/>
        </w:trPr>
        <w:tc>
          <w:tcPr>
            <w:tcW w:w="425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1,152.65</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1,152.65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1,007.38</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1,007.38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1,007.38</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1,007.38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129.11</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129.11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862.41</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862.41</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15.85</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15.85</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ind w:right="571" w:rightChars="272"/>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105.94</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105.94</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104.06</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104.06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104.06</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104.06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2" w:type="dxa"/>
          <w:trHeight w:val="308" w:hRule="atLeast"/>
          <w:jc w:val="center"/>
        </w:trPr>
        <w:tc>
          <w:tcPr>
            <w:tcW w:w="127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2977"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39.33</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4043" w:type="dxa"/>
            <w:gridSpan w:val="2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tbl>
      <w:tblPr>
        <w:tblStyle w:val="5"/>
        <w:tblW w:w="12486" w:type="dxa"/>
        <w:jc w:val="center"/>
        <w:tblLayout w:type="autofit"/>
        <w:tblCellMar>
          <w:top w:w="0" w:type="dxa"/>
          <w:left w:w="108" w:type="dxa"/>
          <w:bottom w:w="0" w:type="dxa"/>
          <w:right w:w="108" w:type="dxa"/>
        </w:tblCellMar>
      </w:tblPr>
      <w:tblGrid>
        <w:gridCol w:w="1020"/>
        <w:gridCol w:w="340"/>
        <w:gridCol w:w="340"/>
        <w:gridCol w:w="2978"/>
        <w:gridCol w:w="1276"/>
        <w:gridCol w:w="1276"/>
        <w:gridCol w:w="1134"/>
        <w:gridCol w:w="1134"/>
        <w:gridCol w:w="1134"/>
        <w:gridCol w:w="1800"/>
        <w:gridCol w:w="54"/>
      </w:tblGrid>
      <w:tr>
        <w:tblPrEx>
          <w:tblCellMar>
            <w:top w:w="0" w:type="dxa"/>
            <w:left w:w="108" w:type="dxa"/>
            <w:bottom w:w="0" w:type="dxa"/>
            <w:right w:w="108" w:type="dxa"/>
          </w:tblCellMar>
        </w:tblPrEx>
        <w:trPr>
          <w:trHeight w:val="390" w:hRule="atLeast"/>
          <w:jc w:val="center"/>
        </w:trPr>
        <w:tc>
          <w:tcPr>
            <w:tcW w:w="12486"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gridAfter w:val="1"/>
          <w:wAfter w:w="54" w:type="dxa"/>
          <w:trHeight w:val="255" w:hRule="atLeast"/>
          <w:jc w:val="center"/>
        </w:trPr>
        <w:tc>
          <w:tcPr>
            <w:tcW w:w="10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7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gridAfter w:val="1"/>
          <w:wAfter w:w="54" w:type="dxa"/>
          <w:trHeight w:val="255" w:hRule="atLeast"/>
          <w:jc w:val="center"/>
        </w:trPr>
        <w:tc>
          <w:tcPr>
            <w:tcW w:w="4678"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1276"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54" w:type="dxa"/>
          <w:trHeight w:val="308" w:hRule="atLeast"/>
          <w:jc w:val="center"/>
        </w:trPr>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gridAfter w:val="1"/>
          <w:wAfter w:w="54" w:type="dxa"/>
          <w:trHeight w:val="312" w:hRule="atLeast"/>
          <w:jc w:val="center"/>
        </w:trPr>
        <w:tc>
          <w:tcPr>
            <w:tcW w:w="17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97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4" w:type="dxa"/>
          <w:trHeight w:val="312" w:hRule="atLeast"/>
          <w:jc w:val="center"/>
        </w:trPr>
        <w:tc>
          <w:tcPr>
            <w:tcW w:w="17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4" w:type="dxa"/>
          <w:trHeight w:val="312" w:hRule="atLeast"/>
          <w:jc w:val="center"/>
        </w:trPr>
        <w:tc>
          <w:tcPr>
            <w:tcW w:w="17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54" w:type="dxa"/>
          <w:trHeight w:val="308" w:hRule="atLeast"/>
          <w:jc w:val="center"/>
        </w:trPr>
        <w:tc>
          <w:tcPr>
            <w:tcW w:w="46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gridAfter w:val="1"/>
          <w:wAfter w:w="54" w:type="dxa"/>
          <w:trHeight w:val="308" w:hRule="atLeast"/>
          <w:jc w:val="center"/>
        </w:trPr>
        <w:tc>
          <w:tcPr>
            <w:tcW w:w="46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1,114.79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1,114.79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73.08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73.08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888.65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888.65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7.98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54"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29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2486"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p/>
    <w:tbl>
      <w:tblPr>
        <w:tblStyle w:val="5"/>
        <w:tblW w:w="13707" w:type="dxa"/>
        <w:jc w:val="center"/>
        <w:tblLayout w:type="autofit"/>
        <w:tblCellMar>
          <w:top w:w="0" w:type="dxa"/>
          <w:left w:w="108" w:type="dxa"/>
          <w:bottom w:w="0" w:type="dxa"/>
          <w:right w:w="108" w:type="dxa"/>
        </w:tblCellMar>
      </w:tblPr>
      <w:tblGrid>
        <w:gridCol w:w="2977"/>
        <w:gridCol w:w="580"/>
        <w:gridCol w:w="1263"/>
        <w:gridCol w:w="3118"/>
        <w:gridCol w:w="580"/>
        <w:gridCol w:w="1121"/>
        <w:gridCol w:w="1134"/>
        <w:gridCol w:w="1134"/>
        <w:gridCol w:w="42"/>
        <w:gridCol w:w="1758"/>
      </w:tblGrid>
      <w:tr>
        <w:tblPrEx>
          <w:tblCellMar>
            <w:top w:w="0" w:type="dxa"/>
            <w:left w:w="108" w:type="dxa"/>
            <w:bottom w:w="0" w:type="dxa"/>
            <w:right w:w="108" w:type="dxa"/>
          </w:tblCellMar>
        </w:tblPrEx>
        <w:trPr>
          <w:trHeight w:val="390" w:hRule="atLeast"/>
          <w:jc w:val="center"/>
        </w:trPr>
        <w:tc>
          <w:tcPr>
            <w:tcW w:w="13707"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jc w:val="center"/>
        </w:trPr>
        <w:tc>
          <w:tcPr>
            <w:tcW w:w="297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6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jc w:val="center"/>
        </w:trPr>
        <w:tc>
          <w:tcPr>
            <w:tcW w:w="2977"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26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8887"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jc w:val="center"/>
        </w:trPr>
        <w:tc>
          <w:tcPr>
            <w:tcW w:w="29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1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121"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80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jc w:val="center"/>
        </w:trPr>
        <w:tc>
          <w:tcPr>
            <w:tcW w:w="29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6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11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2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1,152.65</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1,152.65</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1,114.79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1,114.79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37.25</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75.11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75.11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37.25</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97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1,189.89</w:t>
            </w:r>
          </w:p>
        </w:tc>
        <w:tc>
          <w:tcPr>
            <w:tcW w:w="31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1,189.89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1,189.89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1949"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758"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p>
        </w:tc>
      </w:tr>
    </w:tbl>
    <w:p>
      <w:pPr>
        <w:widowControl/>
        <w:jc w:val="left"/>
      </w:pPr>
    </w:p>
    <w:p>
      <w:pPr>
        <w:widowControl/>
        <w:jc w:val="left"/>
        <w:rPr>
          <w:rFonts w:ascii="黑体" w:hAnsi="宋体" w:eastAsia="黑体" w:cs="宋体"/>
          <w:kern w:val="0"/>
          <w:sz w:val="28"/>
          <w:szCs w:val="28"/>
        </w:rPr>
      </w:pPr>
    </w:p>
    <w:tbl>
      <w:tblPr>
        <w:tblStyle w:val="5"/>
        <w:tblW w:w="10913" w:type="dxa"/>
        <w:jc w:val="center"/>
        <w:tblLayout w:type="autofit"/>
        <w:tblCellMar>
          <w:top w:w="0" w:type="dxa"/>
          <w:left w:w="108" w:type="dxa"/>
          <w:bottom w:w="0" w:type="dxa"/>
          <w:right w:w="108" w:type="dxa"/>
        </w:tblCellMar>
      </w:tblPr>
      <w:tblGrid>
        <w:gridCol w:w="1276"/>
        <w:gridCol w:w="3402"/>
        <w:gridCol w:w="1701"/>
        <w:gridCol w:w="2260"/>
        <w:gridCol w:w="2265"/>
        <w:gridCol w:w="9"/>
      </w:tblGrid>
      <w:tr>
        <w:tblPrEx>
          <w:tblCellMar>
            <w:top w:w="0" w:type="dxa"/>
            <w:left w:w="108" w:type="dxa"/>
            <w:bottom w:w="0" w:type="dxa"/>
            <w:right w:w="108" w:type="dxa"/>
          </w:tblCellMar>
        </w:tblPrEx>
        <w:trPr>
          <w:trHeight w:val="390" w:hRule="atLeast"/>
          <w:jc w:val="center"/>
        </w:trPr>
        <w:tc>
          <w:tcPr>
            <w:tcW w:w="10913" w:type="dxa"/>
            <w:gridSpan w:val="6"/>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jc w:val="center"/>
        </w:trPr>
        <w:tc>
          <w:tcPr>
            <w:tcW w:w="10913" w:type="dxa"/>
            <w:gridSpan w:val="6"/>
            <w:tcBorders>
              <w:top w:val="nil"/>
              <w:left w:val="nil"/>
              <w:bottom w:val="nil"/>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gridAfter w:val="1"/>
          <w:wAfter w:w="9" w:type="dxa"/>
          <w:trHeight w:val="255" w:hRule="atLeast"/>
          <w:jc w:val="center"/>
        </w:trPr>
        <w:tc>
          <w:tcPr>
            <w:tcW w:w="4678"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1701"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23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gridAfter w:val="1"/>
          <w:wAfter w:w="9" w:type="dxa"/>
          <w:trHeight w:val="312" w:hRule="atLeast"/>
          <w:jc w:val="center"/>
        </w:trPr>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402"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7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gridAfter w:val="1"/>
          <w:wAfter w:w="9" w:type="dxa"/>
          <w:trHeight w:val="312" w:hRule="atLeast"/>
          <w:jc w:val="center"/>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40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7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9" w:type="dxa"/>
          <w:trHeight w:val="312" w:hRule="atLeast"/>
          <w:jc w:val="center"/>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40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7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9" w:type="dxa"/>
          <w:trHeight w:val="308" w:hRule="atLeast"/>
          <w:jc w:val="center"/>
        </w:trPr>
        <w:tc>
          <w:tcPr>
            <w:tcW w:w="467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gridAfter w:val="1"/>
          <w:wAfter w:w="9" w:type="dxa"/>
          <w:trHeight w:val="308" w:hRule="atLeast"/>
          <w:jc w:val="center"/>
        </w:trPr>
        <w:tc>
          <w:tcPr>
            <w:tcW w:w="467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1,114.79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1,114.79</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969.72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73.08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73.08</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888.65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888.65</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7.98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7.98</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106.15</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103.85</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1"/>
          <w:wAfter w:w="9" w:type="dxa"/>
          <w:trHeight w:val="308" w:hRule="atLeast"/>
          <w:jc w:val="center"/>
        </w:trPr>
        <w:tc>
          <w:tcPr>
            <w:tcW w:w="127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2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913" w:type="dxa"/>
            <w:gridSpan w:val="6"/>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tc>
      </w:tr>
    </w:tbl>
    <w:p>
      <w:pPr>
        <w:widowControl/>
        <w:jc w:val="left"/>
        <w:rPr>
          <w:rFonts w:ascii="黑体" w:hAnsi="宋体" w:eastAsia="黑体" w:cs="宋体"/>
          <w:kern w:val="0"/>
          <w:sz w:val="28"/>
          <w:szCs w:val="28"/>
        </w:rPr>
      </w:pPr>
    </w:p>
    <w:tbl>
      <w:tblPr>
        <w:tblStyle w:val="5"/>
        <w:tblW w:w="14321" w:type="dxa"/>
        <w:jc w:val="center"/>
        <w:tblLayout w:type="autofit"/>
        <w:tblCellMar>
          <w:top w:w="0" w:type="dxa"/>
          <w:left w:w="108" w:type="dxa"/>
          <w:bottom w:w="0" w:type="dxa"/>
          <w:right w:w="108" w:type="dxa"/>
        </w:tblCellMar>
      </w:tblPr>
      <w:tblGrid>
        <w:gridCol w:w="766"/>
        <w:gridCol w:w="2920"/>
        <w:gridCol w:w="993"/>
        <w:gridCol w:w="6"/>
        <w:gridCol w:w="760"/>
        <w:gridCol w:w="2353"/>
        <w:gridCol w:w="993"/>
        <w:gridCol w:w="766"/>
        <w:gridCol w:w="2924"/>
        <w:gridCol w:w="1800"/>
        <w:gridCol w:w="21"/>
        <w:gridCol w:w="19"/>
      </w:tblGrid>
      <w:tr>
        <w:tblPrEx>
          <w:tblCellMar>
            <w:top w:w="0" w:type="dxa"/>
            <w:left w:w="108" w:type="dxa"/>
            <w:bottom w:w="0" w:type="dxa"/>
            <w:right w:w="108" w:type="dxa"/>
          </w:tblCellMar>
        </w:tblPrEx>
        <w:trPr>
          <w:trHeight w:val="390" w:hRule="atLeast"/>
          <w:jc w:val="center"/>
        </w:trPr>
        <w:tc>
          <w:tcPr>
            <w:tcW w:w="14321" w:type="dxa"/>
            <w:gridSpan w:val="12"/>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gridAfter w:val="2"/>
          <w:wAfter w:w="40" w:type="dxa"/>
          <w:trHeight w:val="255" w:hRule="atLeast"/>
          <w:jc w:val="center"/>
        </w:trPr>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35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2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gridAfter w:val="2"/>
          <w:wAfter w:w="40" w:type="dxa"/>
          <w:trHeight w:val="255" w:hRule="atLeast"/>
          <w:jc w:val="center"/>
        </w:trPr>
        <w:tc>
          <w:tcPr>
            <w:tcW w:w="3686"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993"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76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35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2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gridAfter w:val="1"/>
          <w:wAfter w:w="19" w:type="dxa"/>
          <w:trHeight w:val="308" w:hRule="atLeast"/>
          <w:jc w:val="center"/>
        </w:trPr>
        <w:tc>
          <w:tcPr>
            <w:tcW w:w="46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9617"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gridAfter w:val="2"/>
          <w:wAfter w:w="40" w:type="dxa"/>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9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35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9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gridAfter w:val="2"/>
          <w:wAfter w:w="40" w:type="dxa"/>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35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940.22</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128.29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730.73</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50.05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40.73</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41.00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97.91</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18.42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41.00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38.92</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7.01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5.28</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0.24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0.86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2.98</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27.05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0" w:type="dxa"/>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9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35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9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2"/>
          <w:wAfter w:w="40" w:type="dxa"/>
          <w:trHeight w:val="308" w:hRule="atLeast"/>
          <w:jc w:val="center"/>
        </w:trPr>
        <w:tc>
          <w:tcPr>
            <w:tcW w:w="368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945.50</w:t>
            </w:r>
          </w:p>
        </w:tc>
        <w:tc>
          <w:tcPr>
            <w:tcW w:w="7802"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169.29</w:t>
            </w:r>
          </w:p>
        </w:tc>
      </w:tr>
      <w:tr>
        <w:tblPrEx>
          <w:tblCellMar>
            <w:top w:w="0" w:type="dxa"/>
            <w:left w:w="108" w:type="dxa"/>
            <w:bottom w:w="0" w:type="dxa"/>
            <w:right w:w="108" w:type="dxa"/>
          </w:tblCellMar>
        </w:tblPrEx>
        <w:trPr>
          <w:trHeight w:val="308" w:hRule="atLeast"/>
          <w:jc w:val="center"/>
        </w:trPr>
        <w:tc>
          <w:tcPr>
            <w:tcW w:w="14321" w:type="dxa"/>
            <w:gridSpan w:val="12"/>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5"/>
        <w:tblW w:w="12935" w:type="dxa"/>
        <w:jc w:val="center"/>
        <w:tblLayout w:type="autofit"/>
        <w:tblCellMar>
          <w:top w:w="0" w:type="dxa"/>
          <w:left w:w="108" w:type="dxa"/>
          <w:bottom w:w="0" w:type="dxa"/>
          <w:right w:w="108" w:type="dxa"/>
        </w:tblCellMar>
      </w:tblPr>
      <w:tblGrid>
        <w:gridCol w:w="656"/>
        <w:gridCol w:w="876"/>
        <w:gridCol w:w="656"/>
        <w:gridCol w:w="656"/>
        <w:gridCol w:w="656"/>
        <w:gridCol w:w="1096"/>
        <w:gridCol w:w="1358"/>
        <w:gridCol w:w="1420"/>
        <w:gridCol w:w="1273"/>
        <w:gridCol w:w="1420"/>
        <w:gridCol w:w="1420"/>
        <w:gridCol w:w="8"/>
        <w:gridCol w:w="1412"/>
        <w:gridCol w:w="8"/>
        <w:gridCol w:w="20"/>
      </w:tblGrid>
      <w:tr>
        <w:tblPrEx>
          <w:tblCellMar>
            <w:top w:w="0" w:type="dxa"/>
            <w:left w:w="108" w:type="dxa"/>
            <w:bottom w:w="0" w:type="dxa"/>
            <w:right w:w="108" w:type="dxa"/>
          </w:tblCellMar>
        </w:tblPrEx>
        <w:trPr>
          <w:trHeight w:val="540" w:hRule="atLeast"/>
          <w:jc w:val="center"/>
        </w:trPr>
        <w:tc>
          <w:tcPr>
            <w:tcW w:w="12935" w:type="dxa"/>
            <w:gridSpan w:val="15"/>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gridAfter w:val="2"/>
          <w:wAfter w:w="28" w:type="dxa"/>
          <w:trHeight w:val="255" w:hRule="atLeast"/>
          <w:jc w:val="center"/>
        </w:trPr>
        <w:tc>
          <w:tcPr>
            <w:tcW w:w="65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65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65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65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35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gridAfter w:val="2"/>
          <w:wAfter w:w="28" w:type="dxa"/>
          <w:trHeight w:val="255" w:hRule="atLeast"/>
          <w:jc w:val="center"/>
        </w:trPr>
        <w:tc>
          <w:tcPr>
            <w:tcW w:w="3500" w:type="dxa"/>
            <w:gridSpan w:val="5"/>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r>
              <w:rPr>
                <w:rFonts w:hint="eastAsia" w:ascii="宋体" w:hAnsi="宋体" w:cs="Arial"/>
                <w:color w:val="000000"/>
                <w:kern w:val="0"/>
                <w:sz w:val="20"/>
                <w:szCs w:val="20"/>
              </w:rPr>
              <w:t>部门：尉氏县实验初级中学</w:t>
            </w:r>
          </w:p>
        </w:tc>
        <w:tc>
          <w:tcPr>
            <w:tcW w:w="109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35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840"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5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8339"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gridAfter w:val="1"/>
          <w:wAfter w:w="20" w:type="dxa"/>
          <w:trHeight w:val="308" w:hRule="atLeast"/>
          <w:jc w:val="center"/>
        </w:trPr>
        <w:tc>
          <w:tcPr>
            <w:tcW w:w="6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8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0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135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4121"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gridAfter w:val="2"/>
          <w:wAfter w:w="28" w:type="dxa"/>
          <w:trHeight w:val="615" w:hRule="atLeast"/>
          <w:jc w:val="center"/>
        </w:trPr>
        <w:tc>
          <w:tcPr>
            <w:tcW w:w="65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8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0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35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2"/>
          <w:wAfter w:w="28" w:type="dxa"/>
          <w:trHeight w:val="308" w:hRule="atLeast"/>
          <w:jc w:val="center"/>
        </w:trPr>
        <w:tc>
          <w:tcPr>
            <w:tcW w:w="65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6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gridAfter w:val="2"/>
          <w:wAfter w:w="28" w:type="dxa"/>
          <w:trHeight w:val="30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0.90</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0.90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0.86</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0.86</w:t>
            </w:r>
          </w:p>
        </w:tc>
      </w:tr>
      <w:tr>
        <w:tblPrEx>
          <w:tblCellMar>
            <w:top w:w="0" w:type="dxa"/>
            <w:left w:w="108" w:type="dxa"/>
            <w:bottom w:w="0" w:type="dxa"/>
            <w:right w:w="108" w:type="dxa"/>
          </w:tblCellMar>
        </w:tblPrEx>
        <w:trPr>
          <w:trHeight w:val="615" w:hRule="atLeast"/>
          <w:jc w:val="center"/>
        </w:trPr>
        <w:tc>
          <w:tcPr>
            <w:tcW w:w="12935" w:type="dxa"/>
            <w:gridSpan w:val="15"/>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r>
        <w:rPr>
          <w:rFonts w:ascii="黑体" w:hAnsi="宋体" w:eastAsia="黑体" w:cs="宋体"/>
          <w:kern w:val="0"/>
          <w:sz w:val="28"/>
          <w:szCs w:val="28"/>
        </w:rPr>
        <w:br w:type="page"/>
      </w:r>
    </w:p>
    <w:tbl>
      <w:tblPr>
        <w:tblStyle w:val="5"/>
        <w:tblW w:w="13705" w:type="dxa"/>
        <w:jc w:val="center"/>
        <w:shd w:val="clear" w:color="auto" w:fill="auto"/>
        <w:tblLayout w:type="autofit"/>
        <w:tblCellMar>
          <w:top w:w="0" w:type="dxa"/>
          <w:left w:w="108" w:type="dxa"/>
          <w:bottom w:w="0" w:type="dxa"/>
          <w:right w:w="108" w:type="dxa"/>
        </w:tblCellMar>
      </w:tblPr>
      <w:tblGrid>
        <w:gridCol w:w="1020"/>
        <w:gridCol w:w="340"/>
        <w:gridCol w:w="340"/>
        <w:gridCol w:w="2128"/>
        <w:gridCol w:w="1417"/>
        <w:gridCol w:w="1680"/>
        <w:gridCol w:w="1722"/>
        <w:gridCol w:w="1680"/>
        <w:gridCol w:w="1681"/>
        <w:gridCol w:w="1680"/>
        <w:gridCol w:w="17"/>
      </w:tblGrid>
      <w:tr>
        <w:tblPrEx>
          <w:shd w:val="clear" w:color="auto" w:fill="auto"/>
          <w:tblCellMar>
            <w:top w:w="0" w:type="dxa"/>
            <w:left w:w="108" w:type="dxa"/>
            <w:bottom w:w="0" w:type="dxa"/>
            <w:right w:w="108" w:type="dxa"/>
          </w:tblCellMar>
        </w:tblPrEx>
        <w:trPr>
          <w:trHeight w:val="390" w:hRule="atLeast"/>
          <w:jc w:val="center"/>
        </w:trPr>
        <w:tc>
          <w:tcPr>
            <w:tcW w:w="13705"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政府性基金预算财政拨款收入支出决算表</w:t>
            </w:r>
          </w:p>
        </w:tc>
      </w:tr>
      <w:tr>
        <w:tblPrEx>
          <w:shd w:val="clear" w:color="auto" w:fill="auto"/>
          <w:tblCellMar>
            <w:top w:w="0" w:type="dxa"/>
            <w:left w:w="108" w:type="dxa"/>
            <w:bottom w:w="0" w:type="dxa"/>
            <w:right w:w="108" w:type="dxa"/>
          </w:tblCellMar>
        </w:tblPrEx>
        <w:trPr>
          <w:gridAfter w:val="1"/>
          <w:wAfter w:w="17" w:type="dxa"/>
          <w:trHeight w:val="255" w:hRule="atLeast"/>
          <w:jc w:val="center"/>
        </w:trPr>
        <w:tc>
          <w:tcPr>
            <w:tcW w:w="10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12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72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shd w:val="clear" w:color="auto" w:fill="auto"/>
          <w:tblCellMar>
            <w:top w:w="0" w:type="dxa"/>
            <w:left w:w="108" w:type="dxa"/>
            <w:bottom w:w="0" w:type="dxa"/>
            <w:right w:w="108" w:type="dxa"/>
          </w:tblCellMar>
        </w:tblPrEx>
        <w:trPr>
          <w:gridAfter w:val="1"/>
          <w:wAfter w:w="17" w:type="dxa"/>
          <w:trHeight w:val="255" w:hRule="atLeast"/>
          <w:jc w:val="center"/>
        </w:trPr>
        <w:tc>
          <w:tcPr>
            <w:tcW w:w="3828"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部门：尉氏县实验初级中学</w:t>
            </w:r>
          </w:p>
        </w:tc>
        <w:tc>
          <w:tcPr>
            <w:tcW w:w="1417"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72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shd w:val="clear" w:color="auto" w:fill="auto"/>
          <w:tblCellMar>
            <w:top w:w="0" w:type="dxa"/>
            <w:left w:w="108" w:type="dxa"/>
            <w:bottom w:w="0" w:type="dxa"/>
            <w:right w:w="108" w:type="dxa"/>
          </w:tblCellMar>
        </w:tblPrEx>
        <w:trPr>
          <w:gridAfter w:val="1"/>
          <w:wAfter w:w="17" w:type="dxa"/>
          <w:trHeight w:val="308" w:hRule="atLeast"/>
          <w:jc w:val="center"/>
        </w:trPr>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bookmarkStart w:id="0" w:name="_GoBack"/>
            <w:bookmarkEnd w:id="0"/>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508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gridAfter w:val="1"/>
          <w:wAfter w:w="17" w:type="dxa"/>
          <w:trHeight w:val="312" w:hRule="atLeast"/>
          <w:jc w:val="center"/>
        </w:trPr>
        <w:tc>
          <w:tcPr>
            <w:tcW w:w="17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12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72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6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17" w:type="dxa"/>
          <w:trHeight w:val="312" w:hRule="atLeast"/>
          <w:jc w:val="center"/>
        </w:trPr>
        <w:tc>
          <w:tcPr>
            <w:tcW w:w="17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12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72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17" w:type="dxa"/>
          <w:trHeight w:val="312" w:hRule="atLeast"/>
          <w:jc w:val="center"/>
        </w:trPr>
        <w:tc>
          <w:tcPr>
            <w:tcW w:w="17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12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72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After w:val="1"/>
          <w:wAfter w:w="17" w:type="dxa"/>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gridAfter w:val="1"/>
          <w:wAfter w:w="17" w:type="dxa"/>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合计</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gridAfter w:val="1"/>
          <w:wAfter w:w="17" w:type="dxa"/>
          <w:trHeight w:val="308" w:hRule="atLeast"/>
          <w:jc w:val="center"/>
        </w:trPr>
        <w:tc>
          <w:tcPr>
            <w:tcW w:w="17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705"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r>
    </w:tbl>
    <w:p>
      <w:pPr>
        <w:widowControl/>
        <w:spacing w:line="590" w:lineRule="exact"/>
        <w:jc w:val="left"/>
        <w:rPr>
          <w:rFonts w:ascii="仿宋_GB2312" w:eastAsia="仿宋_GB2312"/>
          <w:sz w:val="32"/>
          <w:szCs w:val="32"/>
        </w:rPr>
      </w:pPr>
      <w:r>
        <w:rPr>
          <w:rFonts w:hint="eastAsia" w:ascii="仿宋_GB2312" w:eastAsia="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6838" w:h="11906" w:orient="landscape"/>
          <w:pgMar w:top="1797" w:right="1440" w:bottom="1797"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797" w:bottom="1440" w:left="1797" w:header="720" w:footer="720" w:gutter="0"/>
          <w:pgNumType w:fmt="numberInDash"/>
          <w:cols w:space="720" w:num="1"/>
          <w:docGrid w:type="linesAndChar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w:t>
      </w:r>
      <w:r>
        <w:rPr>
          <w:rFonts w:ascii="仿宋_GB2312" w:hAnsi="仿宋_GB2312" w:eastAsia="仿宋_GB2312" w:cs="仿宋_GB2312"/>
          <w:sz w:val="32"/>
          <w:szCs w:val="32"/>
        </w:rPr>
        <w:t>1189.89</w:t>
      </w:r>
      <w:r>
        <w:rPr>
          <w:rFonts w:hint="eastAsia" w:ascii="仿宋_GB2312" w:hAnsi="仿宋_GB2312" w:eastAsia="仿宋_GB2312" w:cs="仿宋_GB2312"/>
          <w:sz w:val="32"/>
          <w:szCs w:val="32"/>
        </w:rPr>
        <w:t>万无。与上年度相比，收、支总计各减少</w:t>
      </w:r>
      <w:r>
        <w:rPr>
          <w:rFonts w:ascii="仿宋_GB2312" w:hAnsi="仿宋_GB2312" w:eastAsia="仿宋_GB2312" w:cs="仿宋_GB2312"/>
          <w:sz w:val="32"/>
          <w:szCs w:val="32"/>
        </w:rPr>
        <w:t>144.04</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w:t>
      </w:r>
      <w:r>
        <w:rPr>
          <w:rFonts w:ascii="仿宋_GB2312" w:hAnsi="仿宋_GB2312" w:eastAsia="仿宋_GB2312" w:cs="仿宋_GB2312"/>
          <w:sz w:val="32"/>
          <w:szCs w:val="32"/>
        </w:rPr>
        <w:t>1152.65</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1152.65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 ；上级补助收入0.00万元，占0.00%；事业收入0.00万元，占0.00%；经营收入万元，占0.00%；附属单位上缴收0.00万元，占0.00%；其他收入0.00万元，占0.00%。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万元，占0.00%；项目支出0.00万元，占0.00%；上缴上级支出0.00万元，占0.00%；经营支出0.00万元，占0.00%；对附属单位补助支出0.00万元，占0.00%。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2020年度财政拨款收、支总计均为</w:t>
      </w:r>
      <w:r>
        <w:rPr>
          <w:rFonts w:ascii="仿宋_GB2312" w:hAnsi="仿宋_GB2312" w:eastAsia="仿宋_GB2312" w:cs="仿宋_GB2312"/>
          <w:sz w:val="32"/>
          <w:szCs w:val="32"/>
        </w:rPr>
        <w:t>1189.89</w:t>
      </w:r>
      <w:r>
        <w:rPr>
          <w:rFonts w:hint="eastAsia" w:ascii="仿宋_GB2312" w:hAnsi="仿宋_GB2312" w:eastAsia="仿宋_GB2312" w:cs="仿宋_GB2312"/>
          <w:sz w:val="32"/>
          <w:szCs w:val="32"/>
        </w:rPr>
        <w:t>万元。与上年度相比，财政拨款收、支总计各减少</w:t>
      </w:r>
      <w:r>
        <w:rPr>
          <w:rFonts w:ascii="仿宋_GB2312" w:hAnsi="仿宋_GB2312" w:eastAsia="仿宋_GB2312" w:cs="仿宋_GB2312"/>
          <w:sz w:val="32"/>
          <w:szCs w:val="32"/>
        </w:rPr>
        <w:t>144.04</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%。与上年度相比，一般公共预算财政拨款支出减少1</w:t>
      </w:r>
      <w:r>
        <w:rPr>
          <w:rFonts w:ascii="仿宋_GB2312" w:hAnsi="仿宋_GB2312" w:eastAsia="仿宋_GB2312" w:cs="仿宋_GB2312"/>
          <w:sz w:val="32"/>
          <w:szCs w:val="32"/>
        </w:rPr>
        <w:t>81.9</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14.03</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2020年度一般公共预算财政拨款支出 </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万元，主要用于以下方面：教育支出（类）支出</w:t>
      </w:r>
      <w:r>
        <w:rPr>
          <w:rFonts w:ascii="仿宋_GB2312" w:hAnsi="仿宋_GB2312" w:eastAsia="仿宋_GB2312" w:cs="仿宋_GB2312"/>
          <w:sz w:val="32"/>
          <w:szCs w:val="32"/>
        </w:rPr>
        <w:t>969.72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86.99</w:t>
      </w:r>
      <w:r>
        <w:rPr>
          <w:rFonts w:hint="eastAsia" w:ascii="仿宋_GB2312" w:hAnsi="仿宋_GB2312" w:eastAsia="仿宋_GB2312" w:cs="仿宋_GB2312"/>
          <w:sz w:val="32"/>
          <w:szCs w:val="32"/>
        </w:rPr>
        <w:t>%；社会保障和就业支出（类）支出</w:t>
      </w:r>
      <w:r>
        <w:rPr>
          <w:rFonts w:ascii="仿宋_GB2312" w:hAnsi="仿宋_GB2312" w:eastAsia="仿宋_GB2312" w:cs="仿宋_GB2312"/>
          <w:sz w:val="32"/>
          <w:szCs w:val="32"/>
        </w:rPr>
        <w:t>106.15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9.52</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38.92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3.49</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797.5889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139.77</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（类）普通教育（款）小学教育（项）。</w:t>
      </w:r>
      <w:r>
        <w:rPr>
          <w:rFonts w:hint="eastAsia" w:ascii="仿宋_GB2312" w:hAnsi="仿宋_GB2312" w:eastAsia="仿宋_GB2312" w:cs="仿宋_GB2312"/>
          <w:sz w:val="32"/>
          <w:szCs w:val="32"/>
        </w:rPr>
        <w:t>年初预算为0.00万元，支出决算为</w:t>
      </w:r>
      <w:r>
        <w:rPr>
          <w:rFonts w:ascii="仿宋_GB2312" w:hAnsi="仿宋_GB2312" w:eastAsia="仿宋_GB2312" w:cs="仿宋_GB2312"/>
          <w:sz w:val="32"/>
          <w:szCs w:val="32"/>
        </w:rPr>
        <w:t>73.08</w:t>
      </w:r>
      <w:r>
        <w:rPr>
          <w:rFonts w:hint="eastAsia" w:ascii="仿宋_GB2312" w:hAnsi="仿宋_GB2312" w:eastAsia="仿宋_GB2312" w:cs="仿宋_GB2312"/>
          <w:sz w:val="32"/>
          <w:szCs w:val="32"/>
        </w:rPr>
        <w:t>万元，完成年初预算的 0.00%。</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。决算数大于年初预算数的主要原因是：年初预算汇总统计教育支出-初中教育支出（205020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652.3196</w:t>
      </w:r>
      <w:r>
        <w:rPr>
          <w:rFonts w:hint="eastAsia" w:ascii="仿宋_GB2312" w:hAnsi="仿宋_GB2312" w:eastAsia="仿宋_GB2312" w:cs="仿宋_GB2312"/>
          <w:sz w:val="32"/>
          <w:szCs w:val="32"/>
        </w:rPr>
        <w:t>万元，未明细</w:t>
      </w:r>
      <w:r>
        <w:rPr>
          <w:rFonts w:hint="eastAsia" w:ascii="仿宋_GB2312" w:hAnsi="仿宋_GB2312" w:eastAsia="仿宋_GB2312" w:cs="仿宋_GB2312"/>
          <w:b/>
          <w:bCs/>
          <w:sz w:val="32"/>
          <w:szCs w:val="32"/>
        </w:rPr>
        <w:t>初中教育</w:t>
      </w:r>
      <w:r>
        <w:rPr>
          <w:rFonts w:hint="eastAsia" w:ascii="仿宋_GB2312" w:hAnsi="仿宋_GB2312" w:eastAsia="仿宋_GB2312" w:cs="仿宋_GB2312"/>
          <w:sz w:val="32"/>
          <w:szCs w:val="32"/>
        </w:rPr>
        <w:t>（205020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）年初预算已安排未细分到款，年终再分配调整预算，还有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（类）普通教育（款）初中教育（项）。</w:t>
      </w:r>
      <w:r>
        <w:rPr>
          <w:rFonts w:hint="eastAsia" w:ascii="仿宋_GB2312" w:hAnsi="仿宋_GB2312" w:eastAsia="仿宋_GB2312" w:cs="仿宋_GB2312"/>
          <w:sz w:val="32"/>
          <w:szCs w:val="32"/>
        </w:rPr>
        <w:t>年初预算为</w:t>
      </w:r>
      <w:r>
        <w:rPr>
          <w:rFonts w:ascii="黑体" w:hAnsi="黑体" w:eastAsia="黑体"/>
          <w:sz w:val="32"/>
          <w:szCs w:val="32"/>
        </w:rPr>
        <w:t>652.3196</w:t>
      </w:r>
      <w:r>
        <w:rPr>
          <w:rFonts w:hint="eastAsia" w:ascii="仿宋_GB2312" w:hAnsi="仿宋_GB2312" w:eastAsia="仿宋_GB2312" w:cs="仿宋_GB2312"/>
          <w:sz w:val="32"/>
          <w:szCs w:val="32"/>
        </w:rPr>
        <w:t>万元，支出决算为</w:t>
      </w:r>
      <w:r>
        <w:rPr>
          <w:rFonts w:ascii="仿宋_GB2312" w:hAnsi="仿宋_GB2312" w:eastAsia="仿宋_GB2312" w:cs="仿宋_GB2312"/>
          <w:b/>
          <w:sz w:val="32"/>
          <w:szCs w:val="32"/>
        </w:rPr>
        <w:t>888.65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。决算数大于年初预算数的主要原因是：年初预算汇总统计教育支出-初中教育支出（205020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652.3196</w:t>
      </w:r>
      <w:r>
        <w:rPr>
          <w:rFonts w:hint="eastAsia" w:ascii="仿宋_GB2312" w:hAnsi="仿宋_GB2312" w:eastAsia="仿宋_GB2312" w:cs="仿宋_GB2312"/>
          <w:sz w:val="32"/>
          <w:szCs w:val="32"/>
        </w:rPr>
        <w:t>万元，未明细</w:t>
      </w:r>
      <w:r>
        <w:rPr>
          <w:rFonts w:hint="eastAsia" w:ascii="仿宋_GB2312" w:hAnsi="仿宋_GB2312" w:eastAsia="仿宋_GB2312" w:cs="仿宋_GB2312"/>
          <w:b/>
          <w:bCs/>
          <w:sz w:val="32"/>
          <w:szCs w:val="32"/>
        </w:rPr>
        <w:t>初中教育</w:t>
      </w:r>
      <w:r>
        <w:rPr>
          <w:rFonts w:hint="eastAsia" w:ascii="仿宋_GB2312" w:hAnsi="仿宋_GB2312" w:eastAsia="仿宋_GB2312" w:cs="仿宋_GB2312"/>
          <w:sz w:val="32"/>
          <w:szCs w:val="32"/>
        </w:rPr>
        <w:t>（205020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）年初预算已安排未细分到款，年终再分配调整预算，还有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ind w:firstLine="640" w:firstLineChars="20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教育支出(类)普通教育(款)其他普通教育支出(项)</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初预算为0.00万元，支出决算为7.98万元，无法计算完成比率。决算数大于年初预算数的主要原因是：年初预算汇总统计教育支出-初中教育支出（2050203）652.3196万元，未明细初中教育（2050203）年初预算已安排未细分到款，年终再分配调整预算，还有2020年决算数据包含城乡义务教育公用经费支出。</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社会保障和就业支出(类)行政事业单位养老支出(款)事业单位离退休(项)</w:t>
      </w:r>
      <w:r>
        <w:rPr>
          <w:rFonts w:hint="eastAsia" w:ascii="仿宋_GB2312" w:hAnsi="仿宋_GB2312" w:eastAsia="仿宋_GB2312" w:cs="仿宋_GB2312"/>
          <w:sz w:val="32"/>
          <w:szCs w:val="32"/>
        </w:rPr>
        <w:t>年初预算为1.88万元，支出决算为2.3万元，完成年初预算的122.34%。决算数大于预算数的主要原因是：人</w:t>
      </w:r>
      <w:r>
        <w:rPr>
          <w:rFonts w:ascii="仿宋_GB2312" w:hAnsi="仿宋_GB2312" w:eastAsia="仿宋_GB2312" w:cs="仿宋_GB2312"/>
          <w:sz w:val="32"/>
          <w:szCs w:val="32"/>
        </w:rPr>
        <w:t>员结构变化。</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（类）其他社会保障和就业支出（款）  其他社会保障和就业支出（项）。</w:t>
      </w:r>
      <w:r>
        <w:rPr>
          <w:rFonts w:hint="eastAsia" w:ascii="仿宋_GB2312" w:hAnsi="仿宋_GB2312" w:eastAsia="仿宋_GB2312" w:cs="仿宋_GB2312"/>
          <w:sz w:val="32"/>
          <w:szCs w:val="32"/>
        </w:rPr>
        <w:t xml:space="preserve">年初预算为 </w:t>
      </w:r>
      <w:r>
        <w:rPr>
          <w:rFonts w:ascii="仿宋_GB2312" w:hAnsi="仿宋_GB2312" w:eastAsia="仿宋_GB2312" w:cs="仿宋_GB2312"/>
          <w:sz w:val="32"/>
          <w:szCs w:val="32"/>
        </w:rPr>
        <w:t>104</w:t>
      </w:r>
      <w:r>
        <w:rPr>
          <w:rFonts w:hint="eastAsia" w:ascii="仿宋_GB2312" w:hAnsi="仿宋_GB2312" w:eastAsia="仿宋_GB2312" w:cs="仿宋_GB2312"/>
          <w:sz w:val="32"/>
          <w:szCs w:val="32"/>
        </w:rPr>
        <w:t>.0587万元，支出决算为</w:t>
      </w:r>
      <w:r>
        <w:rPr>
          <w:rFonts w:ascii="仿宋_GB2312" w:hAnsi="仿宋_GB2312" w:eastAsia="仿宋_GB2312" w:cs="仿宋_GB2312"/>
          <w:sz w:val="32"/>
          <w:szCs w:val="32"/>
        </w:rPr>
        <w:t>106.15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99.8</w:t>
      </w:r>
      <w:r>
        <w:rPr>
          <w:rFonts w:hint="eastAsia" w:ascii="仿宋_GB2312" w:hAnsi="仿宋_GB2312" w:eastAsia="仿宋_GB2312" w:cs="仿宋_GB2312"/>
          <w:sz w:val="32"/>
          <w:szCs w:val="32"/>
        </w:rPr>
        <w:t>%。有。决算数大于年初预算数的主要原因是：教师结构比例变化，社保费基数变化，年终数据有调整。</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rPr>
        <w:t xml:space="preserve"> </w:t>
      </w:r>
      <w:r>
        <w:rPr>
          <w:rFonts w:hint="eastAsia" w:ascii="楷体" w:hAnsi="楷体" w:eastAsia="楷体" w:cs="楷体_GB2312"/>
          <w:b/>
          <w:bCs/>
          <w:sz w:val="32"/>
          <w:szCs w:val="48"/>
        </w:rPr>
        <w:t>卫生健康支出</w:t>
      </w:r>
      <w:r>
        <w:rPr>
          <w:rFonts w:hint="eastAsia" w:ascii="楷体" w:hAnsi="楷体" w:eastAsia="楷体" w:cs="仿宋_GB2312"/>
          <w:b/>
          <w:bCs/>
          <w:sz w:val="32"/>
          <w:szCs w:val="32"/>
        </w:rPr>
        <w:t>（类）</w:t>
      </w:r>
      <w:r>
        <w:rPr>
          <w:rFonts w:hint="eastAsia" w:ascii="楷体" w:hAnsi="楷体" w:eastAsia="楷体" w:cs="仿宋_GB2312"/>
          <w:b/>
          <w:bCs/>
          <w:sz w:val="32"/>
          <w:szCs w:val="48"/>
        </w:rPr>
        <w:t>行政事业单位医疗支出</w:t>
      </w:r>
      <w:r>
        <w:rPr>
          <w:rFonts w:hint="eastAsia" w:ascii="楷体" w:hAnsi="楷体" w:eastAsia="楷体" w:cs="仿宋_GB2312"/>
          <w:b/>
          <w:bCs/>
          <w:sz w:val="32"/>
          <w:szCs w:val="32"/>
        </w:rPr>
        <w:t>（款）</w:t>
      </w:r>
      <w:r>
        <w:rPr>
          <w:rFonts w:hint="eastAsia" w:ascii="楷体" w:hAnsi="楷体" w:eastAsia="楷体" w:cs="仿宋_GB2312"/>
          <w:b/>
          <w:bCs/>
          <w:sz w:val="32"/>
          <w:szCs w:val="48"/>
        </w:rPr>
        <w:t>事业单位医疗</w:t>
      </w:r>
      <w:r>
        <w:rPr>
          <w:rFonts w:hint="eastAsia" w:ascii="楷体" w:hAnsi="楷体" w:eastAsia="楷体" w:cs="仿宋_GB2312"/>
          <w:b/>
          <w:bCs/>
          <w:sz w:val="32"/>
          <w:szCs w:val="32"/>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39.3306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38.92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98.96</w:t>
      </w:r>
      <w:r>
        <w:rPr>
          <w:rFonts w:hint="eastAsia" w:ascii="仿宋_GB2312" w:hAnsi="仿宋_GB2312" w:eastAsia="仿宋_GB2312" w:cs="仿宋_GB2312"/>
          <w:sz w:val="32"/>
          <w:szCs w:val="32"/>
        </w:rPr>
        <w:t>%。决算数小于年初预算数的主要原因是：教师结构比例变化，社保费基数变化，年终数据有调整。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ascii="仿宋_GB2312" w:hAnsi="仿宋_GB2312" w:eastAsia="仿宋_GB2312" w:cs="仿宋_GB2312"/>
          <w:sz w:val="32"/>
          <w:szCs w:val="32"/>
        </w:rPr>
        <w:t>1114.79</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945.5</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169.29</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0.86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95.56</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w:t>
      </w:r>
      <w:r>
        <w:rPr>
          <w:rFonts w:ascii="仿宋_GB2312" w:hAnsi="仿宋_GB2312" w:eastAsia="仿宋_GB2312" w:cs="仿宋_GB2312"/>
          <w:sz w:val="32"/>
          <w:szCs w:val="32"/>
        </w:rPr>
        <w:t>0.86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95.56</w:t>
      </w:r>
      <w:r>
        <w:rPr>
          <w:rFonts w:hint="eastAsia" w:ascii="仿宋_GB2312" w:hAnsi="仿宋_GB2312" w:eastAsia="仿宋_GB2312" w:cs="仿宋_GB2312"/>
          <w:sz w:val="32"/>
          <w:szCs w:val="32"/>
        </w:rPr>
        <w:t>%，占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万元，支出决算为0</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万元，完成预算的9</w:t>
      </w:r>
      <w:r>
        <w:rPr>
          <w:rFonts w:ascii="仿宋_GB2312" w:hAnsi="仿宋_GB2312" w:eastAsia="仿宋_GB2312" w:cs="仿宋_GB2312"/>
          <w:sz w:val="32"/>
          <w:szCs w:val="32"/>
        </w:rPr>
        <w:t>5.56</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ascii="仿宋_GB2312" w:hAnsi="仿宋_GB2312" w:eastAsia="仿宋_GB2312" w:cs="仿宋_GB2312"/>
          <w:sz w:val="32"/>
          <w:szCs w:val="32"/>
        </w:rPr>
        <w:t>0.86</w:t>
      </w:r>
      <w:r>
        <w:rPr>
          <w:rFonts w:hint="eastAsia" w:ascii="仿宋_GB2312" w:hAnsi="仿宋_GB2312" w:eastAsia="仿宋_GB2312" w:cs="仿宋_GB2312"/>
          <w:sz w:val="32"/>
          <w:szCs w:val="32"/>
        </w:rPr>
        <w:t>万元。</w:t>
      </w:r>
      <w:r>
        <w:rPr>
          <w:rFonts w:ascii="仿宋_GB2312" w:hAnsi="仿宋_GB2312" w:eastAsia="仿宋"/>
          <w:color w:val="000000"/>
          <w:sz w:val="32"/>
          <w:szCs w:val="32"/>
        </w:rPr>
        <w:t>主要是跨区域交流发生的接待支出。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AndChar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AndChar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C4B920A9"/>
    <w:multiLevelType w:val="singleLevel"/>
    <w:tmpl w:val="C4B920A9"/>
    <w:lvl w:ilvl="0" w:tentative="0">
      <w:start w:val="1"/>
      <w:numFmt w:val="chineseCounting"/>
      <w:suff w:val="space"/>
      <w:lvlText w:val="第%1部分"/>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zJlMDg3NDQ4ZmZjYTQzNjQ3MzJjZTkzZmQwNDYifQ=="/>
  </w:docVars>
  <w:rsids>
    <w:rsidRoot w:val="06112BD0"/>
    <w:rsid w:val="001136CE"/>
    <w:rsid w:val="00140453"/>
    <w:rsid w:val="00153E3E"/>
    <w:rsid w:val="001E4F39"/>
    <w:rsid w:val="001E6E81"/>
    <w:rsid w:val="001F7A94"/>
    <w:rsid w:val="00222B33"/>
    <w:rsid w:val="00224A78"/>
    <w:rsid w:val="00265AC2"/>
    <w:rsid w:val="00296226"/>
    <w:rsid w:val="002C27DA"/>
    <w:rsid w:val="002C3460"/>
    <w:rsid w:val="003006D6"/>
    <w:rsid w:val="00320DDA"/>
    <w:rsid w:val="003C56C3"/>
    <w:rsid w:val="003E6B2F"/>
    <w:rsid w:val="00401246"/>
    <w:rsid w:val="004240BA"/>
    <w:rsid w:val="00433189"/>
    <w:rsid w:val="00440C5D"/>
    <w:rsid w:val="00467573"/>
    <w:rsid w:val="00473E8F"/>
    <w:rsid w:val="00491E6A"/>
    <w:rsid w:val="00494D0C"/>
    <w:rsid w:val="004E3CC1"/>
    <w:rsid w:val="00525DFE"/>
    <w:rsid w:val="0057371D"/>
    <w:rsid w:val="00573BC7"/>
    <w:rsid w:val="00573F0C"/>
    <w:rsid w:val="00576791"/>
    <w:rsid w:val="0058672E"/>
    <w:rsid w:val="005A0D5C"/>
    <w:rsid w:val="005C48F1"/>
    <w:rsid w:val="005E7CDA"/>
    <w:rsid w:val="00615F75"/>
    <w:rsid w:val="00624856"/>
    <w:rsid w:val="00637CC5"/>
    <w:rsid w:val="00655831"/>
    <w:rsid w:val="00666EA8"/>
    <w:rsid w:val="0068408F"/>
    <w:rsid w:val="006861BB"/>
    <w:rsid w:val="006B1D5E"/>
    <w:rsid w:val="0070386F"/>
    <w:rsid w:val="00742238"/>
    <w:rsid w:val="00785A66"/>
    <w:rsid w:val="00787AA0"/>
    <w:rsid w:val="007A4A89"/>
    <w:rsid w:val="007C4E14"/>
    <w:rsid w:val="007C65EF"/>
    <w:rsid w:val="008201F5"/>
    <w:rsid w:val="00866F64"/>
    <w:rsid w:val="008E554E"/>
    <w:rsid w:val="009301E4"/>
    <w:rsid w:val="009603FA"/>
    <w:rsid w:val="00982E79"/>
    <w:rsid w:val="0099356C"/>
    <w:rsid w:val="009A19F1"/>
    <w:rsid w:val="009C28F6"/>
    <w:rsid w:val="009C2BBC"/>
    <w:rsid w:val="00A016C5"/>
    <w:rsid w:val="00A04A3D"/>
    <w:rsid w:val="00A20B85"/>
    <w:rsid w:val="00A306CF"/>
    <w:rsid w:val="00A377D3"/>
    <w:rsid w:val="00A4756C"/>
    <w:rsid w:val="00AA594B"/>
    <w:rsid w:val="00AF5F91"/>
    <w:rsid w:val="00B215B4"/>
    <w:rsid w:val="00B32A59"/>
    <w:rsid w:val="00BA1CBD"/>
    <w:rsid w:val="00BC2A9D"/>
    <w:rsid w:val="00BC4B36"/>
    <w:rsid w:val="00C557D8"/>
    <w:rsid w:val="00C569C1"/>
    <w:rsid w:val="00C87256"/>
    <w:rsid w:val="00C95124"/>
    <w:rsid w:val="00D728F5"/>
    <w:rsid w:val="00D94B46"/>
    <w:rsid w:val="00DA1387"/>
    <w:rsid w:val="00EC5846"/>
    <w:rsid w:val="00FA33C6"/>
    <w:rsid w:val="00FB0EC2"/>
    <w:rsid w:val="00FB350C"/>
    <w:rsid w:val="00FD0D61"/>
    <w:rsid w:val="00FD611F"/>
    <w:rsid w:val="00FE1245"/>
    <w:rsid w:val="06112BD0"/>
    <w:rsid w:val="078B22AC"/>
    <w:rsid w:val="080859A6"/>
    <w:rsid w:val="08F50BF9"/>
    <w:rsid w:val="09687E9D"/>
    <w:rsid w:val="0BDD50F5"/>
    <w:rsid w:val="11AB30E1"/>
    <w:rsid w:val="13273F8C"/>
    <w:rsid w:val="1837038F"/>
    <w:rsid w:val="1B706E8B"/>
    <w:rsid w:val="1E5E590D"/>
    <w:rsid w:val="1F7D60C4"/>
    <w:rsid w:val="21C40BA6"/>
    <w:rsid w:val="23037C94"/>
    <w:rsid w:val="285F5A45"/>
    <w:rsid w:val="2C306C23"/>
    <w:rsid w:val="3AF06A12"/>
    <w:rsid w:val="3E075940"/>
    <w:rsid w:val="3EA0189E"/>
    <w:rsid w:val="40BE7E6B"/>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8EA39A3"/>
    <w:rsid w:val="693B67B8"/>
    <w:rsid w:val="6C7D4B2E"/>
    <w:rsid w:val="6D104721"/>
    <w:rsid w:val="6DEF556F"/>
    <w:rsid w:val="710A0FA8"/>
    <w:rsid w:val="72366041"/>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rPr>
      <w:rFonts w:asciiTheme="minorHAnsi" w:hAnsiTheme="minorHAnsi" w:eastAsiaTheme="minorEastAsia" w:cstheme="minorBidi"/>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51"/>
    <w:basedOn w:val="6"/>
    <w:qFormat/>
    <w:uiPriority w:val="0"/>
    <w:rPr>
      <w:rFonts w:hint="eastAsia" w:ascii="宋体" w:hAnsi="宋体" w:eastAsia="宋体" w:cs="宋体"/>
      <w:color w:val="000000"/>
      <w:sz w:val="24"/>
      <w:szCs w:val="24"/>
      <w:u w:val="none"/>
    </w:rPr>
  </w:style>
  <w:style w:type="character" w:customStyle="1" w:styleId="10">
    <w:name w:val="正文文本 Char"/>
    <w:basedOn w:val="6"/>
    <w:link w:val="2"/>
    <w:qFormat/>
    <w:uiPriority w:val="1"/>
    <w:rPr>
      <w:rFonts w:asciiTheme="minorHAnsi" w:hAnsiTheme="minorHAnsi" w:eastAsiaTheme="minorEastAsia" w:cstheme="minorBidi"/>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65831-7D14-4FB6-AF96-F71D386F0F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8070</Words>
  <Characters>10921</Characters>
  <Lines>93</Lines>
  <Paragraphs>26</Paragraphs>
  <TotalTime>0</TotalTime>
  <ScaleCrop>false</ScaleCrop>
  <LinksUpToDate>false</LinksUpToDate>
  <CharactersWithSpaces>11339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2022-08-24T03:40:00Z</dcterms:created>
  <dc:creator>Administrator</dc:creator>
  <cp:lastModifiedBy>尉氏县</cp:lastModifiedBy>
  <dcterms:modified xsi:type="dcterms:W3CDTF">2022-08-29T02:27:25Z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