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尉氏县青少年活动中心部门决算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w:t>
      </w:r>
      <w:r>
        <w:rPr>
          <w:rFonts w:hint="eastAsia" w:ascii="黑体" w:hAnsi="黑体" w:eastAsia="黑体"/>
          <w:sz w:val="32"/>
          <w:szCs w:val="32"/>
        </w:rPr>
        <w:t>青少年活动中心</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尉氏县青少年活动中心</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青少年活动中心为尉氏县教育体育局下属二级预算事业单位，为财政补助事业单位。单位的工作职责为：运用各种文化艺术手段，通过活动载体，对青少年进行爱国主义、集体主义、社会主义宣传教育；对青少年大力开展新知识、新技能的普及工作；通过组织开展具有导向性、示范性的大型文体科技活动，引导青少年的健康成长；与有关部门合作，开展青少年社会教育工作等。</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黑体" w:hAnsi="宋体" w:eastAsia="黑体" w:cs="宋体"/>
          <w:kern w:val="0"/>
          <w:sz w:val="28"/>
          <w:szCs w:val="28"/>
        </w:rPr>
      </w:pPr>
      <w:r>
        <w:rPr>
          <w:rFonts w:hint="eastAsia" w:ascii="仿宋_GB2312" w:hAnsi="仿宋_GB2312" w:eastAsia="仿宋_GB2312" w:cs="仿宋_GB2312"/>
          <w:sz w:val="32"/>
          <w:szCs w:val="32"/>
        </w:rPr>
        <w:t>青少年活动中心属于财政全额拨款的公益性副科级事业单位，无内设机构。</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4120" w:type="dxa"/>
        <w:jc w:val="center"/>
        <w:tblLayout w:type="autofit"/>
        <w:tblCellMar>
          <w:top w:w="0" w:type="dxa"/>
          <w:left w:w="108" w:type="dxa"/>
          <w:bottom w:w="0" w:type="dxa"/>
          <w:right w:w="108" w:type="dxa"/>
        </w:tblCellMar>
      </w:tblPr>
      <w:tblGrid>
        <w:gridCol w:w="4220"/>
        <w:gridCol w:w="580"/>
        <w:gridCol w:w="2260"/>
        <w:gridCol w:w="4220"/>
        <w:gridCol w:w="580"/>
        <w:gridCol w:w="2260"/>
      </w:tblGrid>
      <w:tr>
        <w:tblPrEx>
          <w:tblCellMar>
            <w:top w:w="0" w:type="dxa"/>
            <w:left w:w="108" w:type="dxa"/>
            <w:bottom w:w="0" w:type="dxa"/>
            <w:right w:w="108" w:type="dxa"/>
          </w:tblCellMar>
        </w:tblPrEx>
        <w:trPr>
          <w:trHeight w:val="390" w:hRule="atLeast"/>
          <w:jc w:val="center"/>
        </w:trPr>
        <w:tc>
          <w:tcPr>
            <w:tcW w:w="14120" w:type="dxa"/>
            <w:gridSpan w:val="6"/>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收入支出决算总表</w:t>
            </w:r>
          </w:p>
        </w:tc>
      </w:tr>
      <w:tr>
        <w:tblPrEx>
          <w:tblCellMar>
            <w:top w:w="0" w:type="dxa"/>
            <w:left w:w="108" w:type="dxa"/>
            <w:bottom w:w="0" w:type="dxa"/>
            <w:right w:w="108" w:type="dxa"/>
          </w:tblCellMar>
        </w:tblPrEx>
        <w:trPr>
          <w:trHeight w:val="255" w:hRule="atLeast"/>
          <w:jc w:val="center"/>
        </w:trPr>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公开01表</w:t>
            </w:r>
          </w:p>
        </w:tc>
      </w:tr>
      <w:tr>
        <w:tblPrEx>
          <w:tblCellMar>
            <w:top w:w="0" w:type="dxa"/>
            <w:left w:w="108" w:type="dxa"/>
            <w:bottom w:w="0" w:type="dxa"/>
            <w:right w:w="108" w:type="dxa"/>
          </w:tblCellMar>
        </w:tblPrEx>
        <w:trPr>
          <w:trHeight w:val="255" w:hRule="atLeast"/>
          <w:jc w:val="center"/>
        </w:trPr>
        <w:tc>
          <w:tcPr>
            <w:tcW w:w="4220"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580"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7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收入</w:t>
            </w:r>
          </w:p>
        </w:tc>
        <w:tc>
          <w:tcPr>
            <w:tcW w:w="706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支出</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金额</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金额</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118.75</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118.75</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120.66</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2.31</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0.41</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121.06</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121.06</w:t>
            </w:r>
          </w:p>
        </w:tc>
      </w:tr>
      <w:tr>
        <w:tblPrEx>
          <w:tblCellMar>
            <w:top w:w="0" w:type="dxa"/>
            <w:left w:w="108" w:type="dxa"/>
            <w:bottom w:w="0" w:type="dxa"/>
            <w:right w:w="108" w:type="dxa"/>
          </w:tblCellMar>
        </w:tblPrEx>
        <w:trPr>
          <w:trHeight w:val="308" w:hRule="atLeast"/>
          <w:jc w:val="center"/>
        </w:trPr>
        <w:tc>
          <w:tcPr>
            <w:tcW w:w="14120" w:type="dxa"/>
            <w:gridSpan w:val="6"/>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注：本表反映部门本年度的总收支和年末结转结余情况。本套报表金额单位转换时可能存在尾数误差。</w:t>
            </w:r>
          </w:p>
        </w:tc>
      </w:tr>
    </w:tbl>
    <w:p/>
    <w:p>
      <w:pPr>
        <w:widowControl/>
        <w:jc w:val="left"/>
        <w:rPr>
          <w:rFonts w:ascii="仿宋_GB2312" w:hAnsi="仿宋_GB2312" w:eastAsia="仿宋_GB2312" w:cs="仿宋_GB2312"/>
          <w:sz w:val="32"/>
          <w:szCs w:val="32"/>
        </w:rPr>
      </w:pP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4"/>
        <w:tblW w:w="13665" w:type="dxa"/>
        <w:jc w:val="center"/>
        <w:tblLayout w:type="autofit"/>
        <w:tblCellMar>
          <w:top w:w="0" w:type="dxa"/>
          <w:left w:w="108" w:type="dxa"/>
          <w:bottom w:w="0" w:type="dxa"/>
          <w:right w:w="108" w:type="dxa"/>
        </w:tblCellMar>
      </w:tblPr>
      <w:tblGrid>
        <w:gridCol w:w="340"/>
        <w:gridCol w:w="340"/>
        <w:gridCol w:w="340"/>
        <w:gridCol w:w="2808"/>
        <w:gridCol w:w="1275"/>
        <w:gridCol w:w="1276"/>
        <w:gridCol w:w="1276"/>
        <w:gridCol w:w="1276"/>
        <w:gridCol w:w="1134"/>
        <w:gridCol w:w="1800"/>
        <w:gridCol w:w="1800"/>
      </w:tblGrid>
      <w:tr>
        <w:tblPrEx>
          <w:tblCellMar>
            <w:top w:w="0" w:type="dxa"/>
            <w:left w:w="108" w:type="dxa"/>
            <w:bottom w:w="0" w:type="dxa"/>
            <w:right w:w="108" w:type="dxa"/>
          </w:tblCellMar>
        </w:tblPrEx>
        <w:trPr>
          <w:trHeight w:val="390" w:hRule="atLeast"/>
          <w:jc w:val="center"/>
        </w:trPr>
        <w:tc>
          <w:tcPr>
            <w:tcW w:w="13665"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收入决算表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80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公开02表</w:t>
            </w:r>
          </w:p>
        </w:tc>
      </w:tr>
      <w:tr>
        <w:tblPrEx>
          <w:tblCellMar>
            <w:top w:w="0" w:type="dxa"/>
            <w:left w:w="108" w:type="dxa"/>
            <w:bottom w:w="0" w:type="dxa"/>
            <w:right w:w="108" w:type="dxa"/>
          </w:tblCellMar>
        </w:tblPrEx>
        <w:trPr>
          <w:trHeight w:val="255" w:hRule="atLeast"/>
          <w:jc w:val="center"/>
        </w:trPr>
        <w:tc>
          <w:tcPr>
            <w:tcW w:w="3828" w:type="dxa"/>
            <w:gridSpan w:val="4"/>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1275"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12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本年收入合计</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财政拨款收入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上级补助收入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事业收入</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经营收入</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其他收入</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功能分类科目编码</w:t>
            </w:r>
          </w:p>
        </w:tc>
        <w:tc>
          <w:tcPr>
            <w:tcW w:w="280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80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80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w:t>
            </w:r>
          </w:p>
        </w:tc>
      </w:tr>
      <w:tr>
        <w:tblPrEx>
          <w:tblCellMar>
            <w:top w:w="0" w:type="dxa"/>
            <w:left w:w="108" w:type="dxa"/>
            <w:bottom w:w="0" w:type="dxa"/>
            <w:right w:w="108" w:type="dxa"/>
          </w:tblCellMar>
        </w:tblPrEx>
        <w:trPr>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合计</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118.75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118.75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101.86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101.86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教育管理事务</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2050199</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其他教育管理事务支出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普通教育</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2.21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2.21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2050202</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小学教育</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2050299</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其他普通教育支出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其他教育支出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98.53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98.53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2059999</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98.53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98.53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社会保障和就业支出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12.64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12.64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行政事业单位养老支出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2080502</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事业单位离退休</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其他社会保障和就业支出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2089901</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其他社会保障和就业支出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卫生健康支出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行政事业单位医疗</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2101102</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事业单位医疗</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3665" w:type="dxa"/>
            <w:gridSpan w:val="11"/>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注：本表反映部门本年度取得的各项收入情况。</w:t>
            </w:r>
          </w:p>
        </w:tc>
      </w:tr>
    </w:tbl>
    <w:p>
      <w:pPr>
        <w:widowControl/>
        <w:jc w:val="left"/>
        <w:rPr>
          <w:rFonts w:ascii="黑体" w:hAnsi="宋体" w:eastAsia="黑体" w:cs="宋体"/>
          <w:kern w:val="0"/>
          <w:sz w:val="28"/>
          <w:szCs w:val="28"/>
        </w:rPr>
      </w:pPr>
    </w:p>
    <w:p/>
    <w:p/>
    <w:p>
      <w:pPr>
        <w:widowControl/>
        <w:jc w:val="left"/>
      </w:pPr>
      <w:r>
        <w:br w:type="page"/>
      </w:r>
    </w:p>
    <w:tbl>
      <w:tblPr>
        <w:tblStyle w:val="4"/>
        <w:tblW w:w="12432" w:type="dxa"/>
        <w:jc w:val="center"/>
        <w:tblLayout w:type="autofit"/>
        <w:tblCellMar>
          <w:top w:w="0" w:type="dxa"/>
          <w:left w:w="108" w:type="dxa"/>
          <w:bottom w:w="0" w:type="dxa"/>
          <w:right w:w="108" w:type="dxa"/>
        </w:tblCellMar>
      </w:tblPr>
      <w:tblGrid>
        <w:gridCol w:w="340"/>
        <w:gridCol w:w="340"/>
        <w:gridCol w:w="340"/>
        <w:gridCol w:w="3233"/>
        <w:gridCol w:w="1560"/>
        <w:gridCol w:w="1275"/>
        <w:gridCol w:w="1134"/>
        <w:gridCol w:w="1134"/>
        <w:gridCol w:w="1276"/>
        <w:gridCol w:w="1800"/>
      </w:tblGrid>
      <w:tr>
        <w:tblPrEx>
          <w:tblCellMar>
            <w:top w:w="0" w:type="dxa"/>
            <w:left w:w="108" w:type="dxa"/>
            <w:bottom w:w="0" w:type="dxa"/>
            <w:right w:w="108" w:type="dxa"/>
          </w:tblCellMar>
        </w:tblPrEx>
        <w:trPr>
          <w:trHeight w:val="390" w:hRule="atLeast"/>
          <w:jc w:val="center"/>
        </w:trPr>
        <w:tc>
          <w:tcPr>
            <w:tcW w:w="12432"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23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公开03表</w:t>
            </w:r>
          </w:p>
        </w:tc>
      </w:tr>
      <w:tr>
        <w:tblPrEx>
          <w:tblCellMar>
            <w:top w:w="0" w:type="dxa"/>
            <w:left w:w="108" w:type="dxa"/>
            <w:bottom w:w="0" w:type="dxa"/>
            <w:right w:w="108" w:type="dxa"/>
          </w:tblCellMar>
        </w:tblPrEx>
        <w:trPr>
          <w:trHeight w:val="255" w:hRule="atLeast"/>
          <w:jc w:val="center"/>
        </w:trPr>
        <w:tc>
          <w:tcPr>
            <w:tcW w:w="4253" w:type="dxa"/>
            <w:gridSpan w:val="4"/>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1560"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本年支出合计</w:t>
            </w:r>
          </w:p>
        </w:tc>
        <w:tc>
          <w:tcPr>
            <w:tcW w:w="12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基本支出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项目支出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上缴上级支出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对附属单位补助支出</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功能分类科目编码</w:t>
            </w:r>
          </w:p>
        </w:tc>
        <w:tc>
          <w:tcPr>
            <w:tcW w:w="323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23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23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425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w:t>
            </w:r>
          </w:p>
        </w:tc>
      </w:tr>
      <w:tr>
        <w:tblPrEx>
          <w:tblCellMar>
            <w:top w:w="0" w:type="dxa"/>
            <w:left w:w="108" w:type="dxa"/>
            <w:bottom w:w="0" w:type="dxa"/>
            <w:right w:w="108" w:type="dxa"/>
          </w:tblCellMar>
        </w:tblPrEx>
        <w:trPr>
          <w:trHeight w:val="308" w:hRule="atLeast"/>
          <w:jc w:val="center"/>
        </w:trPr>
        <w:tc>
          <w:tcPr>
            <w:tcW w:w="425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合计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120.66</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120.66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2050199</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其他教育管理事务支出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普通教育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2.17</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2.17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2050202</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小学教育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2050299</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其他普通教育支出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2059999</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行政事业单位养老支出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2080502</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事业单位离退休</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2089901</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卫生健康支出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2101102</w:t>
            </w:r>
          </w:p>
        </w:tc>
        <w:tc>
          <w:tcPr>
            <w:tcW w:w="32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2432" w:type="dxa"/>
            <w:gridSpan w:val="10"/>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注：本表反映部门本年度各项支出情况。</w:t>
            </w:r>
          </w:p>
        </w:tc>
      </w:tr>
    </w:tbl>
    <w:p>
      <w:pPr>
        <w:widowControl/>
        <w:jc w:val="left"/>
        <w:rPr>
          <w:rFonts w:ascii="黑体" w:hAnsi="宋体" w:eastAsia="黑体" w:cs="宋体"/>
          <w:kern w:val="0"/>
          <w:sz w:val="28"/>
          <w:szCs w:val="28"/>
        </w:rPr>
      </w:pPr>
    </w:p>
    <w:tbl>
      <w:tblPr>
        <w:tblStyle w:val="4"/>
        <w:tblW w:w="14820" w:type="dxa"/>
        <w:jc w:val="center"/>
        <w:tblLayout w:type="autofit"/>
        <w:tblCellMar>
          <w:top w:w="0" w:type="dxa"/>
          <w:left w:w="108" w:type="dxa"/>
          <w:bottom w:w="0" w:type="dxa"/>
          <w:right w:w="108" w:type="dxa"/>
        </w:tblCellMar>
      </w:tblPr>
      <w:tblGrid>
        <w:gridCol w:w="3119"/>
        <w:gridCol w:w="580"/>
        <w:gridCol w:w="1121"/>
        <w:gridCol w:w="3260"/>
        <w:gridCol w:w="580"/>
        <w:gridCol w:w="1146"/>
        <w:gridCol w:w="1534"/>
        <w:gridCol w:w="1680"/>
        <w:gridCol w:w="1800"/>
      </w:tblGrid>
      <w:tr>
        <w:tblPrEx>
          <w:tblCellMar>
            <w:top w:w="0" w:type="dxa"/>
            <w:left w:w="108" w:type="dxa"/>
            <w:bottom w:w="0" w:type="dxa"/>
            <w:right w:w="108" w:type="dxa"/>
          </w:tblCellMar>
        </w:tblPrEx>
        <w:trPr>
          <w:trHeight w:val="390" w:hRule="atLeast"/>
          <w:jc w:val="center"/>
        </w:trPr>
        <w:tc>
          <w:tcPr>
            <w:tcW w:w="14820" w:type="dxa"/>
            <w:gridSpan w:val="9"/>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财政拨款收入支出决算总表</w:t>
            </w:r>
          </w:p>
        </w:tc>
      </w:tr>
      <w:tr>
        <w:tblPrEx>
          <w:tblCellMar>
            <w:top w:w="0" w:type="dxa"/>
            <w:left w:w="108" w:type="dxa"/>
            <w:bottom w:w="0" w:type="dxa"/>
            <w:right w:w="108" w:type="dxa"/>
          </w:tblCellMar>
        </w:tblPrEx>
        <w:trPr>
          <w:trHeight w:val="255" w:hRule="atLeast"/>
          <w:jc w:val="center"/>
        </w:trPr>
        <w:tc>
          <w:tcPr>
            <w:tcW w:w="311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4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公开04表</w:t>
            </w:r>
          </w:p>
        </w:tc>
      </w:tr>
      <w:tr>
        <w:tblPrEx>
          <w:tblCellMar>
            <w:top w:w="0" w:type="dxa"/>
            <w:left w:w="108" w:type="dxa"/>
            <w:bottom w:w="0" w:type="dxa"/>
            <w:right w:w="108" w:type="dxa"/>
          </w:tblCellMar>
        </w:tblPrEx>
        <w:trPr>
          <w:trHeight w:val="255" w:hRule="atLeast"/>
          <w:jc w:val="center"/>
        </w:trPr>
        <w:tc>
          <w:tcPr>
            <w:tcW w:w="3119"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580"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112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4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收     入</w:t>
            </w:r>
          </w:p>
        </w:tc>
        <w:tc>
          <w:tcPr>
            <w:tcW w:w="10000"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支     出</w:t>
            </w:r>
          </w:p>
        </w:tc>
      </w:tr>
      <w:tr>
        <w:tblPrEx>
          <w:tblCellMar>
            <w:top w:w="0" w:type="dxa"/>
            <w:left w:w="108" w:type="dxa"/>
            <w:bottom w:w="0" w:type="dxa"/>
            <w:right w:w="108" w:type="dxa"/>
          </w:tblCellMar>
        </w:tblPrEx>
        <w:trPr>
          <w:trHeight w:val="312" w:hRule="atLeast"/>
          <w:jc w:val="center"/>
        </w:trPr>
        <w:tc>
          <w:tcPr>
            <w:tcW w:w="31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行次</w:t>
            </w:r>
          </w:p>
        </w:tc>
        <w:tc>
          <w:tcPr>
            <w:tcW w:w="11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金额</w:t>
            </w:r>
          </w:p>
        </w:tc>
        <w:tc>
          <w:tcPr>
            <w:tcW w:w="3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行次</w:t>
            </w:r>
          </w:p>
        </w:tc>
        <w:tc>
          <w:tcPr>
            <w:tcW w:w="114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合计</w:t>
            </w:r>
          </w:p>
        </w:tc>
        <w:tc>
          <w:tcPr>
            <w:tcW w:w="15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一般公共预算财政拨款</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政府性基金预算财政拨款</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国有资本经营预算财政拨款</w:t>
            </w:r>
          </w:p>
        </w:tc>
      </w:tr>
      <w:tr>
        <w:tblPrEx>
          <w:tblCellMar>
            <w:top w:w="0" w:type="dxa"/>
            <w:left w:w="108" w:type="dxa"/>
            <w:bottom w:w="0" w:type="dxa"/>
            <w:right w:w="108" w:type="dxa"/>
          </w:tblCellMar>
        </w:tblPrEx>
        <w:trPr>
          <w:trHeight w:val="615" w:hRule="atLeast"/>
          <w:jc w:val="center"/>
        </w:trPr>
        <w:tc>
          <w:tcPr>
            <w:tcW w:w="3119"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2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5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　</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　</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一、一般公共预算财政拨款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118.75</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33</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34</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三、国有资本经营财政拨款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35</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36</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37</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38</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39</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41</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42</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43</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44</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45</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46</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47</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48</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49</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51</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52</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53</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54</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55</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56</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57</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58</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118.75</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59</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120.66</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120.66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年初财政拨款结转和结余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2.31</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年末财政拨款结转和结余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0.41</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0.41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2.31</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61</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62</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63</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121.06</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2"/>
              </w:rPr>
            </w:pPr>
            <w:r>
              <w:rPr>
                <w:rFonts w:hint="eastAsia" w:ascii="宋体" w:hAnsi="宋体" w:cs="Arial"/>
                <w:b/>
                <w:bCs/>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64</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121.06</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121.06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3020" w:type="dxa"/>
            <w:gridSpan w:val="8"/>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auto" w:fill="auto"/>
            <w:noWrap/>
            <w:vAlign w:val="center"/>
          </w:tcPr>
          <w:p>
            <w:pPr>
              <w:widowControl/>
              <w:jc w:val="left"/>
              <w:rPr>
                <w:rFonts w:ascii="宋体" w:hAnsi="宋体" w:cs="Arial"/>
                <w:kern w:val="0"/>
                <w:sz w:val="22"/>
              </w:rPr>
            </w:pP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4"/>
        <w:tblW w:w="11740" w:type="dxa"/>
        <w:jc w:val="center"/>
        <w:tblLayout w:type="autofit"/>
        <w:tblCellMar>
          <w:top w:w="0" w:type="dxa"/>
          <w:left w:w="108" w:type="dxa"/>
          <w:bottom w:w="0" w:type="dxa"/>
          <w:right w:w="108" w:type="dxa"/>
        </w:tblCellMar>
      </w:tblPr>
      <w:tblGrid>
        <w:gridCol w:w="340"/>
        <w:gridCol w:w="340"/>
        <w:gridCol w:w="340"/>
        <w:gridCol w:w="3940"/>
        <w:gridCol w:w="2260"/>
        <w:gridCol w:w="2260"/>
        <w:gridCol w:w="2260"/>
      </w:tblGrid>
      <w:tr>
        <w:tblPrEx>
          <w:tblCellMar>
            <w:top w:w="0" w:type="dxa"/>
            <w:left w:w="108" w:type="dxa"/>
            <w:bottom w:w="0" w:type="dxa"/>
            <w:right w:w="108" w:type="dxa"/>
          </w:tblCellMar>
        </w:tblPrEx>
        <w:trPr>
          <w:trHeight w:val="390" w:hRule="atLeast"/>
          <w:jc w:val="center"/>
        </w:trPr>
        <w:tc>
          <w:tcPr>
            <w:tcW w:w="11740" w:type="dxa"/>
            <w:gridSpan w:val="7"/>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一般公共预算财政拨款支出决算表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公开05表</w:t>
            </w:r>
          </w:p>
        </w:tc>
      </w:tr>
      <w:tr>
        <w:tblPrEx>
          <w:tblCellMar>
            <w:top w:w="0" w:type="dxa"/>
            <w:left w:w="108" w:type="dxa"/>
            <w:bottom w:w="0" w:type="dxa"/>
            <w:right w:w="108" w:type="dxa"/>
          </w:tblCellMar>
        </w:tblPrEx>
        <w:trPr>
          <w:trHeight w:val="255" w:hRule="atLeast"/>
          <w:jc w:val="center"/>
        </w:trPr>
        <w:tc>
          <w:tcPr>
            <w:tcW w:w="4960" w:type="dxa"/>
            <w:gridSpan w:val="4"/>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2260"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67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本年支出</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功能分类科目编码</w:t>
            </w:r>
          </w:p>
        </w:tc>
        <w:tc>
          <w:tcPr>
            <w:tcW w:w="394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项目支出</w:t>
            </w: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w:t>
            </w: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120.66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120.66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kern w:val="0"/>
                <w:sz w:val="22"/>
              </w:rPr>
            </w:pPr>
            <w:r>
              <w:rPr>
                <w:rFonts w:hint="eastAsia" w:ascii="宋体" w:hAnsi="宋体" w:cs="Arial"/>
                <w:b/>
                <w:bCs/>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103.87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教育管理事务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2050199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其他教育管理事务支出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普通教育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2.17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2.17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小学教育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2050299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其他普通教育支出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2059999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100.59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行政事业单位养老支出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事业单位离退休</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2089901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卫生健康支出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行政事业单位医疗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11740" w:type="dxa"/>
            <w:gridSpan w:val="7"/>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注：本表反映部门本年度一般公共预算财政拨款支出情况。</w:t>
            </w:r>
          </w:p>
        </w:tc>
      </w:tr>
    </w:tbl>
    <w:p>
      <w:pPr>
        <w:widowControl/>
        <w:jc w:val="left"/>
        <w:rPr>
          <w:rFonts w:ascii="黑体" w:hAnsi="宋体" w:eastAsia="黑体" w:cs="宋体"/>
          <w:kern w:val="0"/>
          <w:sz w:val="28"/>
          <w:szCs w:val="28"/>
        </w:rPr>
      </w:pPr>
    </w:p>
    <w:tbl>
      <w:tblPr>
        <w:tblStyle w:val="4"/>
        <w:tblW w:w="14844" w:type="dxa"/>
        <w:jc w:val="center"/>
        <w:tblLayout w:type="autofit"/>
        <w:tblCellMar>
          <w:top w:w="0" w:type="dxa"/>
          <w:left w:w="108" w:type="dxa"/>
          <w:bottom w:w="0" w:type="dxa"/>
          <w:right w:w="108" w:type="dxa"/>
        </w:tblCellMar>
      </w:tblPr>
      <w:tblGrid>
        <w:gridCol w:w="766"/>
        <w:gridCol w:w="3345"/>
        <w:gridCol w:w="1101"/>
        <w:gridCol w:w="766"/>
        <w:gridCol w:w="2386"/>
        <w:gridCol w:w="992"/>
        <w:gridCol w:w="766"/>
        <w:gridCol w:w="2922"/>
        <w:gridCol w:w="1800"/>
      </w:tblGrid>
      <w:tr>
        <w:tblPrEx>
          <w:tblCellMar>
            <w:top w:w="0" w:type="dxa"/>
            <w:left w:w="108" w:type="dxa"/>
            <w:bottom w:w="0" w:type="dxa"/>
            <w:right w:w="108" w:type="dxa"/>
          </w:tblCellMar>
        </w:tblPrEx>
        <w:trPr>
          <w:trHeight w:val="390" w:hRule="atLeast"/>
          <w:jc w:val="center"/>
        </w:trPr>
        <w:tc>
          <w:tcPr>
            <w:tcW w:w="14844" w:type="dxa"/>
            <w:gridSpan w:val="9"/>
            <w:tcBorders>
              <w:top w:val="nil"/>
              <w:left w:val="nil"/>
              <w:bottom w:val="nil"/>
              <w:right w:val="nil"/>
            </w:tcBorders>
            <w:shd w:val="clear" w:color="auto" w:fill="auto"/>
            <w:noWrap/>
            <w:vAlign w:val="center"/>
          </w:tcPr>
          <w:p>
            <w:pPr>
              <w:widowControl/>
              <w:jc w:val="center"/>
              <w:rPr>
                <w:rFonts w:ascii="Times New Roman" w:hAnsi="Times New Roman" w:cs="宋体"/>
                <w:kern w:val="0"/>
                <w:sz w:val="20"/>
                <w:szCs w:val="20"/>
              </w:rPr>
            </w:pPr>
            <w:r>
              <w:rPr>
                <w:rFonts w:ascii="黑体" w:hAnsi="宋体" w:eastAsia="黑体" w:cs="宋体"/>
                <w:kern w:val="0"/>
                <w:sz w:val="28"/>
                <w:szCs w:val="28"/>
              </w:rPr>
              <w:br w:type="page"/>
            </w:r>
          </w:p>
          <w:p>
            <w:pPr>
              <w:widowControl/>
              <w:jc w:val="center"/>
              <w:rPr>
                <w:rFonts w:ascii="Times New Roman" w:hAnsi="Times New Roman" w:eastAsia="Times New Roman"/>
                <w:kern w:val="0"/>
                <w:sz w:val="20"/>
                <w:szCs w:val="20"/>
              </w:rPr>
            </w:pPr>
            <w:r>
              <w:rPr>
                <w:rFonts w:hint="eastAsia" w:ascii="宋体" w:hAnsi="宋体" w:cs="Arial"/>
                <w:kern w:val="0"/>
                <w:sz w:val="30"/>
                <w:szCs w:val="30"/>
              </w:rPr>
              <w:t>一般公共预算财政拨款基本支出决算表</w:t>
            </w:r>
          </w:p>
        </w:tc>
      </w:tr>
      <w:tr>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34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38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2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18"/>
                <w:szCs w:val="18"/>
              </w:rPr>
            </w:pPr>
            <w:r>
              <w:rPr>
                <w:rFonts w:hint="eastAsia" w:ascii="宋体" w:hAnsi="宋体" w:cs="Arial"/>
                <w:kern w:val="0"/>
                <w:sz w:val="18"/>
                <w:szCs w:val="18"/>
              </w:rPr>
              <w:t>公开06表</w:t>
            </w:r>
          </w:p>
        </w:tc>
      </w:tr>
      <w:tr>
        <w:tblPrEx>
          <w:tblCellMar>
            <w:top w:w="0" w:type="dxa"/>
            <w:left w:w="108" w:type="dxa"/>
            <w:bottom w:w="0" w:type="dxa"/>
            <w:right w:w="108" w:type="dxa"/>
          </w:tblCellMar>
        </w:tblPrEx>
        <w:trPr>
          <w:trHeight w:val="255" w:hRule="atLeast"/>
          <w:jc w:val="center"/>
        </w:trPr>
        <w:tc>
          <w:tcPr>
            <w:tcW w:w="4111" w:type="dxa"/>
            <w:gridSpan w:val="2"/>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1101"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38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2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kern w:val="0"/>
                <w:sz w:val="18"/>
                <w:szCs w:val="18"/>
              </w:rPr>
            </w:pPr>
            <w:r>
              <w:rPr>
                <w:rFonts w:hint="eastAsia" w:ascii="宋体" w:hAnsi="宋体" w:cs="Arial"/>
                <w:kern w:val="0"/>
                <w:sz w:val="18"/>
                <w:szCs w:val="18"/>
              </w:rPr>
              <w:t>金额单位：万元</w:t>
            </w:r>
          </w:p>
        </w:tc>
      </w:tr>
      <w:tr>
        <w:tblPrEx>
          <w:tblCellMar>
            <w:top w:w="0" w:type="dxa"/>
            <w:left w:w="108" w:type="dxa"/>
            <w:bottom w:w="0" w:type="dxa"/>
            <w:right w:w="108" w:type="dxa"/>
          </w:tblCellMar>
        </w:tblPrEx>
        <w:trPr>
          <w:trHeight w:val="308" w:hRule="atLeast"/>
          <w:jc w:val="center"/>
        </w:trPr>
        <w:tc>
          <w:tcPr>
            <w:tcW w:w="5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人员经费</w:t>
            </w:r>
          </w:p>
        </w:tc>
        <w:tc>
          <w:tcPr>
            <w:tcW w:w="9632"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科目编码</w:t>
            </w:r>
          </w:p>
        </w:tc>
        <w:tc>
          <w:tcPr>
            <w:tcW w:w="33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11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科目编码</w:t>
            </w:r>
          </w:p>
        </w:tc>
        <w:tc>
          <w:tcPr>
            <w:tcW w:w="238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科目编码</w:t>
            </w:r>
          </w:p>
        </w:tc>
        <w:tc>
          <w:tcPr>
            <w:tcW w:w="292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334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3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9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92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110.79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4.48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307</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债务利息及费用支出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30101</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基本工资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86.89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30201</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办公费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1.28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30701</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国内债务付息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30102</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津贴补贴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3.28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30202</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印刷费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30702</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国外债务付息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30103</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奖金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30203</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咨询费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30106</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伙食补助费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30204</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手续费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31001</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房屋建筑物购建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30107</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绩效工资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4.04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30205</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31002</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办公设备购置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30108</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机关事业单位基本养老保险缴费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11.33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30206</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0.79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31003</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专用设备购置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30109</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职业年金缴费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30207</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邮电费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31005</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30110</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职工基本医疗保险缴费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4.25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30208</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取暖费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1.58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31006</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大型修缮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30111</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公务员医疗补助缴费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30209</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物业管理费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31007</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信息网络及软件购置更新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30112</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其他社会保障缴费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0.99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30211</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差旅费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31008</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物资储备</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30113</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住房公积金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30212</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因公出国（境）费用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31009</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土地补偿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30114</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医疗费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30213</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维修（护）费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31010</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安置补助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30199</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30214</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租赁费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31011</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地上附着物和青苗补偿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5.39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30215</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会议费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31012</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拆迁补偿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30301</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离休费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30216</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培训费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31013</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公务用车购置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30302</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退休费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30217</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公务接待费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31019</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其他交通工具购置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30303</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退职（役）费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30218</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专用材料费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31021</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文物和陈列品购置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30304</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抚恤金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5.17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30224</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被装购置费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31022</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无形资产购置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30305</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生活补助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0.21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30225</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专用燃料费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31099</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30306</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救济费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30226</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劳务费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399</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30307</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医疗费补助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30227</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委托业务费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39906</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赠与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30308</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助学金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30228</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工会经费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39907</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国家赔偿费用支出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30309</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奖励金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30229</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福利费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39908</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30310</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个人农业生产补贴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30231</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公务用车运行维护费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39999</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30311</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代缴社会保险费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30239</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其他交通费用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30399</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30240</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税金及附加费用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33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30299</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xml:space="preserve">  其他商品和服务支出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0.77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92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411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人员经费合计</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116.18</w:t>
            </w:r>
          </w:p>
        </w:tc>
        <w:tc>
          <w:tcPr>
            <w:tcW w:w="7832"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公用经费合计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4.48</w:t>
            </w:r>
          </w:p>
        </w:tc>
      </w:tr>
      <w:tr>
        <w:tblPrEx>
          <w:tblCellMar>
            <w:top w:w="0" w:type="dxa"/>
            <w:left w:w="108" w:type="dxa"/>
            <w:bottom w:w="0" w:type="dxa"/>
            <w:right w:w="108" w:type="dxa"/>
          </w:tblCellMar>
        </w:tblPrEx>
        <w:trPr>
          <w:trHeight w:val="308" w:hRule="atLeast"/>
          <w:jc w:val="center"/>
        </w:trPr>
        <w:tc>
          <w:tcPr>
            <w:tcW w:w="14844" w:type="dxa"/>
            <w:gridSpan w:val="9"/>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注：本表反映部门本年度一般公共预算财政拨款基本支出明细情况。</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4"/>
        <w:tblW w:w="14058" w:type="dxa"/>
        <w:jc w:val="center"/>
        <w:tblLayout w:type="autofit"/>
        <w:tblCellMar>
          <w:top w:w="0" w:type="dxa"/>
          <w:left w:w="108" w:type="dxa"/>
          <w:bottom w:w="0" w:type="dxa"/>
          <w:right w:w="108" w:type="dxa"/>
        </w:tblCellMar>
      </w:tblPr>
      <w:tblGrid>
        <w:gridCol w:w="709"/>
        <w:gridCol w:w="1420"/>
        <w:gridCol w:w="848"/>
        <w:gridCol w:w="1420"/>
        <w:gridCol w:w="1420"/>
        <w:gridCol w:w="1129"/>
        <w:gridCol w:w="709"/>
        <w:gridCol w:w="1420"/>
        <w:gridCol w:w="713"/>
        <w:gridCol w:w="1420"/>
        <w:gridCol w:w="1420"/>
        <w:gridCol w:w="1430"/>
      </w:tblGrid>
      <w:tr>
        <w:tblPrEx>
          <w:tblCellMar>
            <w:top w:w="0" w:type="dxa"/>
            <w:left w:w="108" w:type="dxa"/>
            <w:bottom w:w="0" w:type="dxa"/>
            <w:right w:w="108" w:type="dxa"/>
          </w:tblCellMar>
        </w:tblPrEx>
        <w:trPr>
          <w:trHeight w:val="540" w:hRule="atLeast"/>
          <w:jc w:val="center"/>
        </w:trPr>
        <w:tc>
          <w:tcPr>
            <w:tcW w:w="14058" w:type="dxa"/>
            <w:gridSpan w:val="12"/>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jc w:val="center"/>
        </w:trPr>
        <w:tc>
          <w:tcPr>
            <w:tcW w:w="70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4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1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公开07表</w:t>
            </w:r>
          </w:p>
        </w:tc>
      </w:tr>
      <w:tr>
        <w:tblPrEx>
          <w:tblCellMar>
            <w:top w:w="0" w:type="dxa"/>
            <w:left w:w="108" w:type="dxa"/>
            <w:bottom w:w="0" w:type="dxa"/>
            <w:right w:w="108" w:type="dxa"/>
          </w:tblCellMar>
        </w:tblPrEx>
        <w:trPr>
          <w:trHeight w:val="255" w:hRule="atLeast"/>
          <w:jc w:val="center"/>
        </w:trPr>
        <w:tc>
          <w:tcPr>
            <w:tcW w:w="2977" w:type="dxa"/>
            <w:gridSpan w:val="3"/>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1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预算数</w:t>
            </w:r>
          </w:p>
        </w:tc>
        <w:tc>
          <w:tcPr>
            <w:tcW w:w="711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决算数</w:t>
            </w:r>
          </w:p>
        </w:tc>
      </w:tr>
      <w:tr>
        <w:tblPrEx>
          <w:tblCellMar>
            <w:top w:w="0" w:type="dxa"/>
            <w:left w:w="108" w:type="dxa"/>
            <w:bottom w:w="0" w:type="dxa"/>
            <w:right w:w="108" w:type="dxa"/>
          </w:tblCellMar>
        </w:tblPrEx>
        <w:trPr>
          <w:trHeight w:val="308" w:hRule="atLeast"/>
          <w:jc w:val="center"/>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合计</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因公出国（境）费</w:t>
            </w:r>
          </w:p>
        </w:tc>
        <w:tc>
          <w:tcPr>
            <w:tcW w:w="368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公务用车购置及运行费</w:t>
            </w:r>
          </w:p>
        </w:tc>
        <w:tc>
          <w:tcPr>
            <w:tcW w:w="11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公务接待费</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合计</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因公出国（境）费</w:t>
            </w:r>
          </w:p>
        </w:tc>
        <w:tc>
          <w:tcPr>
            <w:tcW w:w="355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公务接待费</w:t>
            </w:r>
          </w:p>
        </w:tc>
      </w:tr>
      <w:tr>
        <w:tblPrEx>
          <w:tblCellMar>
            <w:top w:w="0" w:type="dxa"/>
            <w:left w:w="108" w:type="dxa"/>
            <w:bottom w:w="0" w:type="dxa"/>
            <w:right w:w="108" w:type="dxa"/>
          </w:tblCellMar>
        </w:tblPrEx>
        <w:trPr>
          <w:trHeight w:val="615" w:hRule="atLeast"/>
          <w:jc w:val="center"/>
        </w:trPr>
        <w:tc>
          <w:tcPr>
            <w:tcW w:w="709"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4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小计</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公务用车购置费</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公务用车运行费</w:t>
            </w:r>
          </w:p>
        </w:tc>
        <w:tc>
          <w:tcPr>
            <w:tcW w:w="112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7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4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7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小计</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公务用车购置费</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公务用车运行费</w:t>
            </w:r>
          </w:p>
        </w:tc>
        <w:tc>
          <w:tcPr>
            <w:tcW w:w="143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w:t>
            </w:r>
          </w:p>
        </w:tc>
        <w:tc>
          <w:tcPr>
            <w:tcW w:w="11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w:t>
            </w:r>
          </w:p>
        </w:tc>
        <w:tc>
          <w:tcPr>
            <w:tcW w:w="7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w:t>
            </w:r>
          </w:p>
        </w:tc>
      </w:tr>
      <w:tr>
        <w:tblPrEx>
          <w:tblCellMar>
            <w:top w:w="0" w:type="dxa"/>
            <w:left w:w="108" w:type="dxa"/>
            <w:bottom w:w="0" w:type="dxa"/>
            <w:right w:w="108" w:type="dxa"/>
          </w:tblCellMar>
        </w:tblPrEx>
        <w:trPr>
          <w:trHeight w:val="308" w:hRule="atLeast"/>
          <w:jc w:val="center"/>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71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r>
              <w:rPr>
                <w:rFonts w:hint="eastAsia" w:ascii="宋体" w:hAnsi="宋体" w:cs="Arial"/>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lang w:val="en-US" w:eastAsia="zh-CN"/>
              </w:rPr>
              <w:t>0</w:t>
            </w:r>
            <w:bookmarkStart w:id="0" w:name="_GoBack"/>
            <w:bookmarkEnd w:id="0"/>
            <w:r>
              <w:rPr>
                <w:rFonts w:hint="eastAsia" w:ascii="宋体" w:hAnsi="宋体" w:cs="Arial"/>
                <w:kern w:val="0"/>
                <w:sz w:val="22"/>
              </w:rPr>
              <w:t>　</w:t>
            </w:r>
          </w:p>
        </w:tc>
      </w:tr>
      <w:tr>
        <w:tblPrEx>
          <w:tblCellMar>
            <w:top w:w="0" w:type="dxa"/>
            <w:left w:w="108" w:type="dxa"/>
            <w:bottom w:w="0" w:type="dxa"/>
            <w:right w:w="108" w:type="dxa"/>
          </w:tblCellMar>
        </w:tblPrEx>
        <w:trPr>
          <w:trHeight w:val="615" w:hRule="atLeast"/>
          <w:jc w:val="center"/>
        </w:trPr>
        <w:tc>
          <w:tcPr>
            <w:tcW w:w="14058" w:type="dxa"/>
            <w:gridSpan w:val="12"/>
            <w:tcBorders>
              <w:top w:val="nil"/>
              <w:left w:val="nil"/>
              <w:bottom w:val="nil"/>
              <w:right w:val="nil"/>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4"/>
        <w:tblW w:w="12695" w:type="dxa"/>
        <w:jc w:val="center"/>
        <w:tblLayout w:type="autofit"/>
        <w:tblCellMar>
          <w:top w:w="0" w:type="dxa"/>
          <w:left w:w="108" w:type="dxa"/>
          <w:bottom w:w="0" w:type="dxa"/>
          <w:right w:w="108" w:type="dxa"/>
        </w:tblCellMar>
      </w:tblPr>
      <w:tblGrid>
        <w:gridCol w:w="340"/>
        <w:gridCol w:w="340"/>
        <w:gridCol w:w="340"/>
        <w:gridCol w:w="2666"/>
        <w:gridCol w:w="1559"/>
        <w:gridCol w:w="1276"/>
        <w:gridCol w:w="1134"/>
        <w:gridCol w:w="1680"/>
        <w:gridCol w:w="1680"/>
        <w:gridCol w:w="1680"/>
      </w:tblGrid>
      <w:tr>
        <w:tblPrEx>
          <w:tblCellMar>
            <w:top w:w="0" w:type="dxa"/>
            <w:left w:w="108" w:type="dxa"/>
            <w:bottom w:w="0" w:type="dxa"/>
            <w:right w:w="108" w:type="dxa"/>
          </w:tblCellMar>
        </w:tblPrEx>
        <w:trPr>
          <w:trHeight w:val="390" w:hRule="atLeast"/>
          <w:jc w:val="center"/>
        </w:trPr>
        <w:tc>
          <w:tcPr>
            <w:tcW w:w="12695"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6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公开08表</w:t>
            </w:r>
          </w:p>
        </w:tc>
      </w:tr>
      <w:tr>
        <w:tblPrEx>
          <w:tblCellMar>
            <w:top w:w="0" w:type="dxa"/>
            <w:left w:w="108" w:type="dxa"/>
            <w:bottom w:w="0" w:type="dxa"/>
            <w:right w:w="108" w:type="dxa"/>
          </w:tblCellMar>
        </w:tblPrEx>
        <w:trPr>
          <w:trHeight w:val="255" w:hRule="atLeast"/>
          <w:jc w:val="center"/>
        </w:trPr>
        <w:tc>
          <w:tcPr>
            <w:tcW w:w="3686" w:type="dxa"/>
            <w:gridSpan w:val="4"/>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部门：尉氏县青少年活动中心</w:t>
            </w:r>
          </w:p>
        </w:tc>
        <w:tc>
          <w:tcPr>
            <w:tcW w:w="1559" w:type="dxa"/>
            <w:tcBorders>
              <w:top w:val="nil"/>
              <w:left w:val="nil"/>
              <w:bottom w:val="nil"/>
              <w:right w:val="nil"/>
            </w:tcBorders>
            <w:shd w:val="clear" w:color="auto" w:fill="auto"/>
            <w:noWrap/>
            <w:vAlign w:val="bottom"/>
          </w:tcPr>
          <w:p>
            <w:pPr>
              <w:widowControl/>
              <w:jc w:val="left"/>
              <w:rPr>
                <w:rFonts w:ascii="宋体" w:hAnsi="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项目</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年初结转和结余</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本年收入</w:t>
            </w:r>
          </w:p>
        </w:tc>
        <w:tc>
          <w:tcPr>
            <w:tcW w:w="449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年末结转和结余</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功能分类科目编码</w:t>
            </w:r>
          </w:p>
        </w:tc>
        <w:tc>
          <w:tcPr>
            <w:tcW w:w="266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科目名称</w:t>
            </w: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6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26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8" w:hRule="atLeast"/>
          <w:jc w:val="center"/>
        </w:trPr>
        <w:tc>
          <w:tcPr>
            <w:tcW w:w="368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栏次</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6</w:t>
            </w:r>
          </w:p>
        </w:tc>
      </w:tr>
      <w:tr>
        <w:tblPrEx>
          <w:tblCellMar>
            <w:top w:w="0" w:type="dxa"/>
            <w:left w:w="108" w:type="dxa"/>
            <w:bottom w:w="0" w:type="dxa"/>
            <w:right w:w="108" w:type="dxa"/>
          </w:tblCellMar>
        </w:tblPrEx>
        <w:trPr>
          <w:trHeight w:val="308" w:hRule="atLeast"/>
          <w:jc w:val="center"/>
        </w:trPr>
        <w:tc>
          <w:tcPr>
            <w:tcW w:w="368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合计</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22"/>
              </w:rPr>
            </w:pPr>
            <w:r>
              <w:rPr>
                <w:rFonts w:hint="eastAsia" w:ascii="宋体" w:hAnsi="宋体" w:cs="Arial"/>
                <w:kern w:val="0"/>
                <w:sz w:val="22"/>
              </w:rPr>
              <w:t>　</w:t>
            </w:r>
          </w:p>
        </w:tc>
      </w:tr>
      <w:tr>
        <w:tblPrEx>
          <w:tblCellMar>
            <w:top w:w="0" w:type="dxa"/>
            <w:left w:w="108" w:type="dxa"/>
            <w:bottom w:w="0" w:type="dxa"/>
            <w:right w:w="108" w:type="dxa"/>
          </w:tblCellMar>
        </w:tblPrEx>
        <w:trPr>
          <w:trHeight w:val="308" w:hRule="atLeast"/>
          <w:jc w:val="center"/>
        </w:trPr>
        <w:tc>
          <w:tcPr>
            <w:tcW w:w="12695" w:type="dxa"/>
            <w:gridSpan w:val="10"/>
            <w:tcBorders>
              <w:top w:val="nil"/>
              <w:left w:val="nil"/>
              <w:bottom w:val="nil"/>
              <w:right w:val="nil"/>
            </w:tcBorders>
            <w:shd w:val="clear" w:color="auto" w:fill="auto"/>
            <w:noWrap/>
            <w:vAlign w:val="center"/>
          </w:tcPr>
          <w:p>
            <w:pPr>
              <w:widowControl/>
              <w:jc w:val="left"/>
              <w:rPr>
                <w:rFonts w:ascii="宋体" w:hAnsi="宋体" w:cs="Arial"/>
                <w:kern w:val="0"/>
                <w:sz w:val="22"/>
              </w:rPr>
            </w:pPr>
            <w:r>
              <w:rPr>
                <w:rFonts w:hint="eastAsia" w:ascii="宋体" w:hAnsi="宋体" w:cs="Arial"/>
                <w:kern w:val="0"/>
                <w:sz w:val="22"/>
              </w:rPr>
              <w:t>注：本表反映部门本年度政府性基金预算财政拨款收入、支出及结转和结余情况。</w:t>
            </w:r>
          </w:p>
        </w:tc>
      </w:tr>
    </w:tbl>
    <w:p>
      <w:pPr>
        <w:rPr>
          <w:szCs w:val="21"/>
        </w:rPr>
      </w:pPr>
      <w:r>
        <w:rPr>
          <w:rFonts w:ascii="仿宋_GB2312" w:hAnsi="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rPr>
          <w:rFonts w:ascii="黑体" w:hAnsi="宋体" w:eastAsia="黑体" w:cs="宋体"/>
          <w:sz w:val="28"/>
          <w:szCs w:val="28"/>
        </w:rPr>
        <w:sectPr>
          <w:pgSz w:w="16838" w:h="11906" w:orient="landscape"/>
          <w:pgMar w:top="1276" w:right="1440" w:bottom="1418"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797" w:bottom="1440" w:left="1797" w:header="720" w:footer="720" w:gutter="0"/>
          <w:pgNumType w:fmt="numberInDash"/>
          <w:cols w:space="720" w:num="1"/>
          <w:docGrid w:type="linesAndChar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w:t>
      </w:r>
      <w:r>
        <w:rPr>
          <w:rFonts w:ascii="仿宋_GB2312" w:hAnsi="仿宋_GB2312" w:eastAsia="仿宋_GB2312" w:cs="仿宋_GB2312"/>
          <w:sz w:val="32"/>
          <w:szCs w:val="32"/>
        </w:rPr>
        <w:t>121.06</w:t>
      </w:r>
      <w:r>
        <w:rPr>
          <w:rFonts w:hint="eastAsia" w:ascii="仿宋_GB2312" w:hAnsi="仿宋_GB2312" w:eastAsia="仿宋_GB2312" w:cs="仿宋_GB2312"/>
          <w:sz w:val="32"/>
          <w:szCs w:val="32"/>
        </w:rPr>
        <w:t>万无。与上年度</w:t>
      </w:r>
      <w:r>
        <w:rPr>
          <w:rFonts w:ascii="仿宋_GB2312" w:hAnsi="仿宋_GB2312" w:eastAsia="仿宋_GB2312" w:cs="仿宋_GB2312"/>
          <w:sz w:val="32"/>
          <w:szCs w:val="32"/>
        </w:rPr>
        <w:t>130.66</w:t>
      </w:r>
      <w:r>
        <w:rPr>
          <w:rFonts w:hint="eastAsia" w:ascii="仿宋_GB2312" w:hAnsi="仿宋_GB2312" w:eastAsia="仿宋_GB2312" w:cs="仿宋_GB2312"/>
          <w:sz w:val="32"/>
          <w:szCs w:val="32"/>
        </w:rPr>
        <w:t>万元相比，收、支总计各减少9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7.35</w:t>
      </w:r>
      <w:r>
        <w:rPr>
          <w:rFonts w:hint="eastAsia" w:ascii="仿宋_GB2312" w:hAnsi="仿宋_GB2312" w:eastAsia="仿宋_GB2312" w:cs="仿宋_GB2312"/>
          <w:sz w:val="32"/>
          <w:szCs w:val="32"/>
        </w:rPr>
        <w:t xml:space="preserve"> %。主要原因是上年有补发工资。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w:t>
      </w:r>
      <w:r>
        <w:rPr>
          <w:rFonts w:ascii="仿宋_GB2312" w:hAnsi="仿宋_GB2312" w:eastAsia="仿宋_GB2312" w:cs="仿宋_GB2312"/>
          <w:sz w:val="32"/>
          <w:szCs w:val="32"/>
        </w:rPr>
        <w:t>118.75</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118.75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 ；上级补助收入0.00万元，占0.00%；事业收入0.00万元，占0.00%；经营收入万元，占0.00%；附属单位上缴收0.00万元，占0.00%；其他收入0.00万元，占0.00%。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w:t>
      </w:r>
      <w:r>
        <w:rPr>
          <w:rFonts w:ascii="仿宋_GB2312" w:hAnsi="仿宋_GB2312" w:eastAsia="仿宋_GB2312" w:cs="仿宋_GB2312"/>
          <w:sz w:val="32"/>
          <w:szCs w:val="32"/>
        </w:rPr>
        <w:t>120.66</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120.66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2020年度财政拨款收、支总计均为</w:t>
      </w:r>
      <w:r>
        <w:rPr>
          <w:rFonts w:ascii="仿宋_GB2312" w:hAnsi="仿宋_GB2312" w:eastAsia="仿宋_GB2312" w:cs="仿宋_GB2312"/>
          <w:sz w:val="32"/>
          <w:szCs w:val="32"/>
        </w:rPr>
        <w:t>121.06</w:t>
      </w:r>
      <w:r>
        <w:rPr>
          <w:rFonts w:hint="eastAsia" w:ascii="仿宋_GB2312" w:hAnsi="仿宋_GB2312" w:eastAsia="仿宋_GB2312" w:cs="仿宋_GB2312"/>
          <w:sz w:val="32"/>
          <w:szCs w:val="32"/>
        </w:rPr>
        <w:t>万元。与上年度相比，财政拨款收、支总计各减少1.77万元，下降</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120.66</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%。与上年度万元相比，一般公共预算财政拨款支出增加</w:t>
      </w:r>
      <w:r>
        <w:rPr>
          <w:rFonts w:ascii="仿宋_GB2312" w:hAnsi="仿宋_GB2312" w:eastAsia="仿宋_GB2312" w:cs="仿宋_GB2312"/>
          <w:sz w:val="32"/>
          <w:szCs w:val="32"/>
        </w:rPr>
        <w:t>0.14</w:t>
      </w:r>
      <w:r>
        <w:rPr>
          <w:rFonts w:hint="eastAsia" w:ascii="仿宋_GB2312" w:hAnsi="仿宋_GB2312" w:eastAsia="仿宋_GB2312" w:cs="仿宋_GB2312"/>
          <w:sz w:val="32"/>
          <w:szCs w:val="32"/>
        </w:rPr>
        <w:t>万元，上长</w:t>
      </w:r>
      <w:r>
        <w:rPr>
          <w:rFonts w:ascii="仿宋_GB2312" w:hAnsi="仿宋_GB2312" w:eastAsia="仿宋_GB2312" w:cs="仿宋_GB2312"/>
          <w:sz w:val="32"/>
          <w:szCs w:val="32"/>
        </w:rPr>
        <w:t>0.12</w:t>
      </w:r>
      <w:r>
        <w:rPr>
          <w:rFonts w:hint="eastAsia" w:ascii="仿宋_GB2312" w:hAnsi="仿宋_GB2312" w:eastAsia="仿宋_GB2312" w:cs="仿宋_GB2312"/>
          <w:sz w:val="32"/>
          <w:szCs w:val="32"/>
        </w:rPr>
        <w:t>%，主要原因是：人员结构比例变化</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120.66</w:t>
      </w:r>
      <w:r>
        <w:rPr>
          <w:rFonts w:hint="eastAsia" w:ascii="仿宋_GB2312" w:hAnsi="仿宋_GB2312" w:eastAsia="仿宋_GB2312" w:cs="仿宋_GB2312"/>
          <w:sz w:val="32"/>
          <w:szCs w:val="32"/>
        </w:rPr>
        <w:t>万元，主要用于以下方面：教育支出（类）支出</w:t>
      </w:r>
      <w:r>
        <w:rPr>
          <w:rFonts w:ascii="仿宋_GB2312" w:hAnsi="仿宋_GB2312" w:eastAsia="仿宋_GB2312" w:cs="仿宋_GB2312"/>
          <w:sz w:val="32"/>
          <w:szCs w:val="32"/>
        </w:rPr>
        <w:t>103.87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86.08</w:t>
      </w:r>
      <w:r>
        <w:rPr>
          <w:rFonts w:hint="eastAsia" w:ascii="仿宋_GB2312" w:hAnsi="仿宋_GB2312" w:eastAsia="仿宋_GB2312" w:cs="仿宋_GB2312"/>
          <w:sz w:val="32"/>
          <w:szCs w:val="32"/>
        </w:rPr>
        <w:t>%；社会保障和就业支出（类）支出</w:t>
      </w:r>
      <w:r>
        <w:rPr>
          <w:rFonts w:ascii="仿宋_GB2312" w:hAnsi="仿宋_GB2312" w:eastAsia="仿宋_GB2312" w:cs="仿宋_GB2312"/>
          <w:sz w:val="32"/>
          <w:szCs w:val="32"/>
        </w:rPr>
        <w:t>12.54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10.39</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4.25</w:t>
      </w:r>
      <w:r>
        <w:rPr>
          <w:rFonts w:hint="eastAsia" w:ascii="仿宋_GB2312" w:hAnsi="仿宋_GB2312" w:eastAsia="仿宋_GB2312" w:cs="仿宋_GB2312"/>
          <w:sz w:val="32"/>
          <w:szCs w:val="32"/>
        </w:rPr>
        <w:t xml:space="preserve"> 万元，占</w:t>
      </w:r>
      <w:r>
        <w:rPr>
          <w:rFonts w:ascii="仿宋_GB2312" w:hAnsi="仿宋_GB2312" w:eastAsia="仿宋_GB2312" w:cs="仿宋_GB2312"/>
          <w:sz w:val="32"/>
          <w:szCs w:val="32"/>
        </w:rPr>
        <w:t>3.53</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90.72</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20.66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133.00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9"/>
        <w:widowControl/>
        <w:numPr>
          <w:ilvl w:val="0"/>
          <w:numId w:val="3"/>
        </w:numPr>
        <w:spacing w:line="590" w:lineRule="exact"/>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pStyle w:val="9"/>
        <w:ind w:firstLine="643"/>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（类）教育管理事务（款）其他教育管理事务支出（项）。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。决算数大于年初预算数的主要原因是：年初预算汇总统计教育支出-其他教育支出(</w:t>
      </w:r>
      <w:r>
        <w:rPr>
          <w:rFonts w:ascii="仿宋_GB2312" w:hAnsi="仿宋_GB2312" w:eastAsia="仿宋_GB2312" w:cs="仿宋_GB2312"/>
          <w:sz w:val="32"/>
          <w:szCs w:val="32"/>
        </w:rPr>
        <w:t>2059999)73.82</w:t>
      </w:r>
      <w:r>
        <w:rPr>
          <w:rFonts w:hint="eastAsia" w:ascii="仿宋_GB2312" w:hAnsi="仿宋_GB2312" w:eastAsia="仿宋_GB2312" w:cs="仿宋_GB2312"/>
          <w:sz w:val="32"/>
          <w:szCs w:val="32"/>
        </w:rPr>
        <w:t>万元，未细分到款，年终再分配调整预算。</w:t>
      </w:r>
    </w:p>
    <w:p>
      <w:pPr>
        <w:pStyle w:val="9"/>
        <w:widowControl/>
        <w:spacing w:line="590" w:lineRule="exact"/>
        <w:ind w:firstLine="643"/>
        <w:rPr>
          <w:rFonts w:ascii="仿宋_GB2312" w:hAnsi="仿宋_GB2312" w:eastAsia="仿宋_GB2312" w:cs="仿宋_GB2312"/>
          <w:b/>
          <w:bCs/>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。决算数大于年初预算数的主要原因是：年初预算汇总统计教育支出-其他教育支出(</w:t>
      </w:r>
      <w:r>
        <w:rPr>
          <w:rFonts w:ascii="仿宋_GB2312" w:hAnsi="仿宋_GB2312" w:eastAsia="仿宋_GB2312" w:cs="仿宋_GB2312"/>
          <w:sz w:val="32"/>
          <w:szCs w:val="32"/>
        </w:rPr>
        <w:t>2059999)73.82</w:t>
      </w:r>
      <w:r>
        <w:rPr>
          <w:rFonts w:hint="eastAsia" w:ascii="仿宋_GB2312" w:hAnsi="仿宋_GB2312" w:eastAsia="仿宋_GB2312" w:cs="仿宋_GB2312"/>
          <w:sz w:val="32"/>
          <w:szCs w:val="32"/>
        </w:rPr>
        <w:t>万元，未细分到款，年终再分配调整预算。</w:t>
      </w:r>
    </w:p>
    <w:p>
      <w:pPr>
        <w:widowControl/>
        <w:spacing w:line="590" w:lineRule="exact"/>
        <w:ind w:firstLine="640" w:firstLineChars="200"/>
        <w:rPr>
          <w:rFonts w:ascii="楷体_GB2312" w:eastAsia="楷体_GB2312"/>
          <w:b/>
          <w:sz w:val="32"/>
          <w:szCs w:val="48"/>
        </w:rPr>
      </w:pPr>
    </w:p>
    <w:p>
      <w:pPr>
        <w:pStyle w:val="9"/>
        <w:widowControl/>
        <w:spacing w:line="590" w:lineRule="exact"/>
        <w:ind w:firstLine="643"/>
        <w:rPr>
          <w:rFonts w:ascii="仿宋_GB2312" w:hAnsi="仿宋_GB2312" w:eastAsia="仿宋_GB2312" w:cs="仿宋_GB2312"/>
          <w:b/>
          <w:bCs/>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（类）普通教育（款）其他普通教育支出（项）。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。决算数大于年初预算数的主要原因是：年初预算汇总统计教育支出-其他教育支出(</w:t>
      </w:r>
      <w:r>
        <w:rPr>
          <w:rFonts w:ascii="仿宋_GB2312" w:hAnsi="仿宋_GB2312" w:eastAsia="仿宋_GB2312" w:cs="仿宋_GB2312"/>
          <w:sz w:val="32"/>
          <w:szCs w:val="32"/>
        </w:rPr>
        <w:t>2059999)73.82</w:t>
      </w:r>
      <w:r>
        <w:rPr>
          <w:rFonts w:hint="eastAsia" w:ascii="仿宋_GB2312" w:hAnsi="仿宋_GB2312" w:eastAsia="仿宋_GB2312" w:cs="仿宋_GB2312"/>
          <w:sz w:val="32"/>
          <w:szCs w:val="32"/>
        </w:rPr>
        <w:t>万元，未细分到款，年终再分配调整预算。</w:t>
      </w:r>
    </w:p>
    <w:p>
      <w:pPr>
        <w:pStyle w:val="9"/>
        <w:widowControl/>
        <w:spacing w:line="590" w:lineRule="exact"/>
        <w:ind w:firstLine="643"/>
        <w:rPr>
          <w:rFonts w:ascii="仿宋_GB2312" w:hAnsi="仿宋_GB2312" w:eastAsia="仿宋_GB2312" w:cs="仿宋_GB2312"/>
          <w:b/>
          <w:bCs/>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（类）普通教育（款）其他教育支出（项）。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73.82</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00.59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。决算数大于年初预算数的主要原因是：年初预算汇总统计教育支出-其他教育支出(</w:t>
      </w:r>
      <w:r>
        <w:rPr>
          <w:rFonts w:ascii="仿宋_GB2312" w:hAnsi="仿宋_GB2312" w:eastAsia="仿宋_GB2312" w:cs="仿宋_GB2312"/>
          <w:sz w:val="32"/>
          <w:szCs w:val="32"/>
        </w:rPr>
        <w:t>2059999)73.82</w:t>
      </w:r>
      <w:r>
        <w:rPr>
          <w:rFonts w:hint="eastAsia" w:ascii="仿宋_GB2312" w:hAnsi="仿宋_GB2312" w:eastAsia="仿宋_GB2312" w:cs="仿宋_GB2312"/>
          <w:sz w:val="32"/>
          <w:szCs w:val="32"/>
        </w:rPr>
        <w:t>万元，未细分到款，年终再分配调整预算。</w:t>
      </w:r>
    </w:p>
    <w:p>
      <w:pPr>
        <w:pStyle w:val="9"/>
        <w:widowControl/>
        <w:numPr>
          <w:ilvl w:val="0"/>
          <w:numId w:val="3"/>
        </w:numPr>
        <w:spacing w:line="590" w:lineRule="exact"/>
        <w:ind w:firstLineChars="0"/>
        <w:rPr>
          <w:rFonts w:ascii="仿宋_GB2312" w:hAnsi="仿宋_GB2312" w:eastAsia="仿宋_GB2312" w:cs="仿宋_GB2312"/>
          <w:b/>
          <w:bCs/>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w:t>
      </w:r>
    </w:p>
    <w:p>
      <w:pPr>
        <w:widowControl/>
        <w:ind w:firstLine="704" w:firstLineChars="220"/>
        <w:rPr>
          <w:rFonts w:hint="eastAsia" w:ascii="楷体_GB2312" w:hAnsi="宋体" w:eastAsia="楷体_GB2312" w:cs="宋体"/>
          <w:bCs/>
          <w:color w:val="000000"/>
          <w:kern w:val="0"/>
          <w:sz w:val="32"/>
          <w:szCs w:val="32"/>
        </w:rPr>
      </w:pPr>
      <w:r>
        <w:rPr>
          <w:rFonts w:hint="eastAsia" w:ascii="楷体_GB2312" w:hAnsi="宋体" w:eastAsia="楷体_GB2312" w:cs="宋体"/>
          <w:b/>
          <w:bCs/>
          <w:color w:val="000000"/>
          <w:kern w:val="0"/>
          <w:sz w:val="32"/>
          <w:szCs w:val="32"/>
        </w:rPr>
        <w:t>社会保障和就业支出(类)行政事业单位养老支出(款)事业单位离退休(项)</w:t>
      </w:r>
      <w:r>
        <w:rPr>
          <w:rFonts w:hint="eastAsia" w:ascii="楷体_GB2312" w:hAnsi="宋体" w:eastAsia="楷体_GB2312" w:cs="宋体"/>
          <w:bCs/>
          <w:color w:val="000000"/>
          <w:kern w:val="0"/>
          <w:sz w:val="32"/>
          <w:szCs w:val="32"/>
        </w:rPr>
        <w:t>年初预算为0.32万元，支出决算为0.21万元，完成年初预算的65.63%。决算数大于预算数的主要原因是：教师结构比例变化，社保费基数变化，年终数据有调整。</w:t>
      </w:r>
    </w:p>
    <w:p>
      <w:pPr>
        <w:pStyle w:val="9"/>
        <w:widowControl/>
        <w:spacing w:line="590" w:lineRule="exact"/>
        <w:ind w:firstLine="704" w:firstLineChars="22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（类）其他社会保障和就业支出（款）  其他社会保障和就业支出（项）。</w:t>
      </w:r>
      <w:r>
        <w:rPr>
          <w:rFonts w:hint="eastAsia" w:ascii="仿宋_GB2312" w:hAnsi="仿宋_GB2312" w:eastAsia="仿宋_GB2312" w:cs="仿宋_GB2312"/>
          <w:sz w:val="32"/>
          <w:szCs w:val="32"/>
        </w:rPr>
        <w:t xml:space="preserve">年初预算为 </w:t>
      </w:r>
      <w:r>
        <w:rPr>
          <w:rFonts w:ascii="仿宋_GB2312" w:hAnsi="仿宋_GB2312" w:eastAsia="仿宋_GB2312" w:cs="仿宋_GB2312"/>
          <w:sz w:val="32"/>
          <w:szCs w:val="32"/>
        </w:rPr>
        <w:t>12.32</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2.32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%。无差异。</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rPr>
        <w:t xml:space="preserve"> </w:t>
      </w:r>
      <w:r>
        <w:rPr>
          <w:rFonts w:hint="eastAsia" w:ascii="楷体" w:hAnsi="楷体" w:eastAsia="楷体" w:cs="楷体_GB2312"/>
          <w:b/>
          <w:bCs/>
          <w:sz w:val="32"/>
          <w:szCs w:val="48"/>
        </w:rPr>
        <w:t>卫生健康支出</w:t>
      </w:r>
      <w:r>
        <w:rPr>
          <w:rFonts w:hint="eastAsia" w:ascii="楷体" w:hAnsi="楷体" w:eastAsia="楷体" w:cs="仿宋_GB2312"/>
          <w:b/>
          <w:bCs/>
          <w:sz w:val="32"/>
          <w:szCs w:val="32"/>
        </w:rPr>
        <w:t>（类）</w:t>
      </w:r>
      <w:r>
        <w:rPr>
          <w:rFonts w:hint="eastAsia" w:ascii="楷体" w:hAnsi="楷体" w:eastAsia="楷体" w:cs="仿宋_GB2312"/>
          <w:b/>
          <w:bCs/>
          <w:sz w:val="32"/>
          <w:szCs w:val="48"/>
        </w:rPr>
        <w:t>行政事业单位医疗支出</w:t>
      </w:r>
      <w:r>
        <w:rPr>
          <w:rFonts w:hint="eastAsia" w:ascii="楷体" w:hAnsi="楷体" w:eastAsia="楷体" w:cs="仿宋_GB2312"/>
          <w:b/>
          <w:bCs/>
          <w:sz w:val="32"/>
          <w:szCs w:val="32"/>
        </w:rPr>
        <w:t>（款）</w:t>
      </w:r>
      <w:r>
        <w:rPr>
          <w:rFonts w:hint="eastAsia" w:ascii="楷体" w:hAnsi="楷体" w:eastAsia="楷体" w:cs="仿宋_GB2312"/>
          <w:b/>
          <w:bCs/>
          <w:sz w:val="32"/>
          <w:szCs w:val="48"/>
        </w:rPr>
        <w:t>事业单位医疗</w:t>
      </w:r>
      <w:r>
        <w:rPr>
          <w:rFonts w:hint="eastAsia" w:ascii="楷体" w:hAnsi="楷体" w:eastAsia="楷体" w:cs="仿宋_GB2312"/>
          <w:b/>
          <w:bCs/>
          <w:sz w:val="32"/>
          <w:szCs w:val="32"/>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4.25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4.25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%。无差异</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ascii="仿宋_GB2312" w:hAnsi="仿宋_GB2312" w:eastAsia="仿宋_GB2312" w:cs="仿宋_GB2312"/>
          <w:sz w:val="32"/>
          <w:szCs w:val="32"/>
        </w:rPr>
        <w:t>120.66</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116.18</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4.48</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2020年度“三公”经费财政拨款支出预算为0.00万元，支出决算为0.00万元，完成预算的0.00%。决算数小于预算数的主要原因是：接待次数减少。</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0.00万元，完成预算的0.00%，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预算为0.00万元，支出决算为0.00万元，完成预算的0.00%。决算数小于预算数的主要原因是：接待次数减少。</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0.00万元。</w:t>
      </w:r>
      <w:r>
        <w:rPr>
          <w:rFonts w:ascii="仿宋_GB2312" w:hAnsi="仿宋_GB2312" w:eastAsia="仿宋"/>
          <w:sz w:val="32"/>
          <w:szCs w:val="32"/>
        </w:rPr>
        <w:t>主要是跨区域交流发生的接待支出。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4"/>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4"/>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AndChar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AndChar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C4B920A9"/>
    <w:multiLevelType w:val="singleLevel"/>
    <w:tmpl w:val="C4B920A9"/>
    <w:lvl w:ilvl="0" w:tentative="0">
      <w:start w:val="1"/>
      <w:numFmt w:val="chineseCounting"/>
      <w:suff w:val="space"/>
      <w:lvlText w:val="第%1部分"/>
      <w:lvlJc w:val="left"/>
      <w:rPr>
        <w:rFonts w:hint="eastAsia"/>
      </w:rPr>
    </w:lvl>
  </w:abstractNum>
  <w:abstractNum w:abstractNumId="2">
    <w:nsid w:val="292B1685"/>
    <w:multiLevelType w:val="multilevel"/>
    <w:tmpl w:val="292B1685"/>
    <w:lvl w:ilvl="0" w:tentative="0">
      <w:start w:val="1"/>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971BE17"/>
    <w:multiLevelType w:val="singleLevel"/>
    <w:tmpl w:val="5971BE17"/>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zJlMDg3NDQ4ZmZjYTQzNjQ3MzJjZTkzZmQwNDYifQ=="/>
  </w:docVars>
  <w:rsids>
    <w:rsidRoot w:val="06112BD0"/>
    <w:rsid w:val="000A00D8"/>
    <w:rsid w:val="001136CE"/>
    <w:rsid w:val="00140453"/>
    <w:rsid w:val="0014604D"/>
    <w:rsid w:val="00153E3E"/>
    <w:rsid w:val="001E6E81"/>
    <w:rsid w:val="001F7A94"/>
    <w:rsid w:val="00222B33"/>
    <w:rsid w:val="00223041"/>
    <w:rsid w:val="00224A78"/>
    <w:rsid w:val="00265AC2"/>
    <w:rsid w:val="002713B3"/>
    <w:rsid w:val="00290670"/>
    <w:rsid w:val="00296226"/>
    <w:rsid w:val="002C27DA"/>
    <w:rsid w:val="002C3460"/>
    <w:rsid w:val="00320DDA"/>
    <w:rsid w:val="003C56C3"/>
    <w:rsid w:val="003E6B2F"/>
    <w:rsid w:val="004027F0"/>
    <w:rsid w:val="004240BA"/>
    <w:rsid w:val="00433189"/>
    <w:rsid w:val="00440C5D"/>
    <w:rsid w:val="00467573"/>
    <w:rsid w:val="00473E8F"/>
    <w:rsid w:val="00491E6A"/>
    <w:rsid w:val="004E3CC1"/>
    <w:rsid w:val="00525DFE"/>
    <w:rsid w:val="00573F0C"/>
    <w:rsid w:val="00576791"/>
    <w:rsid w:val="005C48F1"/>
    <w:rsid w:val="005D0A23"/>
    <w:rsid w:val="005F63EF"/>
    <w:rsid w:val="00613557"/>
    <w:rsid w:val="00615F75"/>
    <w:rsid w:val="00637CC5"/>
    <w:rsid w:val="00655831"/>
    <w:rsid w:val="0068408F"/>
    <w:rsid w:val="006861BB"/>
    <w:rsid w:val="006925ED"/>
    <w:rsid w:val="006B1D5E"/>
    <w:rsid w:val="006D1E44"/>
    <w:rsid w:val="0070386F"/>
    <w:rsid w:val="007742D3"/>
    <w:rsid w:val="00785A66"/>
    <w:rsid w:val="00787AA0"/>
    <w:rsid w:val="007A4A89"/>
    <w:rsid w:val="007C4E14"/>
    <w:rsid w:val="008201F5"/>
    <w:rsid w:val="00866F64"/>
    <w:rsid w:val="00956937"/>
    <w:rsid w:val="009603FA"/>
    <w:rsid w:val="00960783"/>
    <w:rsid w:val="009A19F1"/>
    <w:rsid w:val="009C28F6"/>
    <w:rsid w:val="009C2BBC"/>
    <w:rsid w:val="009C31EF"/>
    <w:rsid w:val="00A016C5"/>
    <w:rsid w:val="00A04A3D"/>
    <w:rsid w:val="00A20B85"/>
    <w:rsid w:val="00A306CF"/>
    <w:rsid w:val="00A4756C"/>
    <w:rsid w:val="00AF5F91"/>
    <w:rsid w:val="00B215B4"/>
    <w:rsid w:val="00BA1CBD"/>
    <w:rsid w:val="00BA3CB7"/>
    <w:rsid w:val="00BC2A9D"/>
    <w:rsid w:val="00BC4B36"/>
    <w:rsid w:val="00BD77E6"/>
    <w:rsid w:val="00C569C1"/>
    <w:rsid w:val="00C87256"/>
    <w:rsid w:val="00CB44E2"/>
    <w:rsid w:val="00D728F5"/>
    <w:rsid w:val="00D94B46"/>
    <w:rsid w:val="00DA1387"/>
    <w:rsid w:val="00E53124"/>
    <w:rsid w:val="00E95129"/>
    <w:rsid w:val="00EC5846"/>
    <w:rsid w:val="00F71CA2"/>
    <w:rsid w:val="00FA33C6"/>
    <w:rsid w:val="00FB0EC2"/>
    <w:rsid w:val="00FB350C"/>
    <w:rsid w:val="00FD0D61"/>
    <w:rsid w:val="00FD611F"/>
    <w:rsid w:val="06112BD0"/>
    <w:rsid w:val="078B22AC"/>
    <w:rsid w:val="080859A6"/>
    <w:rsid w:val="08F50BF9"/>
    <w:rsid w:val="09687E9D"/>
    <w:rsid w:val="0BDD50F5"/>
    <w:rsid w:val="0D2B0DF5"/>
    <w:rsid w:val="11AB30E1"/>
    <w:rsid w:val="13273F8C"/>
    <w:rsid w:val="1837038F"/>
    <w:rsid w:val="1B706E8B"/>
    <w:rsid w:val="1E5E590D"/>
    <w:rsid w:val="1F7D60C4"/>
    <w:rsid w:val="21C40BA6"/>
    <w:rsid w:val="23037C94"/>
    <w:rsid w:val="285F5A45"/>
    <w:rsid w:val="2C306C23"/>
    <w:rsid w:val="39DF2EAD"/>
    <w:rsid w:val="3AF06A12"/>
    <w:rsid w:val="3E075940"/>
    <w:rsid w:val="3EA0189E"/>
    <w:rsid w:val="40BE7E6B"/>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8EA39A3"/>
    <w:rsid w:val="6C7D4B2E"/>
    <w:rsid w:val="6D104721"/>
    <w:rsid w:val="6DEF556F"/>
    <w:rsid w:val="710A0FA8"/>
    <w:rsid w:val="72366041"/>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635A3-F9F1-4C48-A5B1-A4CEA6E186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7804</Words>
  <Characters>10624</Characters>
  <Lines>91</Lines>
  <Paragraphs>25</Paragraphs>
  <TotalTime>0</TotalTime>
  <ScaleCrop>false</ScaleCrop>
  <LinksUpToDate>false</LinksUpToDate>
  <CharactersWithSpaces>11049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2022-08-24T03:40:00Z</dcterms:created>
  <dc:creator>Administrator</dc:creator>
  <cp:lastModifiedBy>尉氏县</cp:lastModifiedBy>
  <dcterms:modified xsi:type="dcterms:W3CDTF">2022-08-29T02:29:33Z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