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2020年度</w:t>
      </w:r>
    </w:p>
    <w:p>
      <w:pPr>
        <w:jc w:val="center"/>
        <w:rPr>
          <w:rFonts w:ascii="黑体" w:hAnsi="黑体" w:eastAsia="黑体" w:cs="黑体"/>
          <w:sz w:val="52"/>
          <w:szCs w:val="52"/>
        </w:rPr>
      </w:pPr>
      <w:r>
        <w:rPr>
          <w:rFonts w:hint="eastAsia" w:ascii="黑体" w:hAnsi="黑体" w:eastAsia="黑体" w:cs="黑体"/>
          <w:sz w:val="52"/>
          <w:szCs w:val="52"/>
        </w:rPr>
        <w:t>尉氏县大营镇中心学校部门决算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headerReference r:id="rId3"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二〇二一年八月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尉氏县</w:t>
      </w:r>
      <w:r>
        <w:rPr>
          <w:rFonts w:hint="eastAsia" w:ascii="黑体" w:hAnsi="黑体" w:eastAsia="黑体"/>
          <w:sz w:val="32"/>
          <w:szCs w:val="32"/>
        </w:rPr>
        <w:t>大营镇中心学校</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2020年度部门决算表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2020年度部门决算情况说明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jc w:val="left"/>
        <w:rPr>
          <w:rFonts w:ascii="黑体" w:hAnsi="黑体" w:eastAsia="黑体" w:cs="黑体"/>
          <w:sz w:val="32"/>
          <w:szCs w:val="32"/>
        </w:rPr>
      </w:pPr>
      <w:r>
        <w:rPr>
          <w:rFonts w:hint="eastAsia" w:ascii="黑体" w:hAnsi="黑体" w:eastAsia="黑体" w:cs="黑体"/>
          <w:sz w:val="32"/>
          <w:szCs w:val="32"/>
        </w:rPr>
        <w:t>第四部分　　名词解释</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center"/>
        <w:outlineLvl w:val="0"/>
        <w:rPr>
          <w:rFonts w:ascii="黑体" w:hAnsi="黑体" w:eastAsia="黑体" w:cs="黑体"/>
          <w:sz w:val="48"/>
          <w:szCs w:val="48"/>
        </w:rPr>
        <w:sectPr>
          <w:footerReference r:id="rId4" w:type="default"/>
          <w:footerReference r:id="rId5" w:type="even"/>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numPr>
          <w:ilvl w:val="0"/>
          <w:numId w:val="2"/>
        </w:numPr>
        <w:jc w:val="center"/>
        <w:outlineLvl w:val="0"/>
        <w:rPr>
          <w:rFonts w:ascii="黑体" w:hAnsi="黑体" w:eastAsia="黑体" w:cs="黑体"/>
          <w:sz w:val="48"/>
          <w:szCs w:val="48"/>
        </w:rPr>
      </w:pPr>
      <w:r>
        <w:rPr>
          <w:rFonts w:hint="eastAsia" w:ascii="黑体" w:hAnsi="黑体" w:eastAsia="黑体" w:cs="黑体"/>
          <w:sz w:val="48"/>
          <w:szCs w:val="48"/>
        </w:rPr>
        <w:t>尉氏县大营镇中心学校</w:t>
      </w:r>
    </w:p>
    <w:p>
      <w:pPr>
        <w:widowControl/>
        <w:jc w:val="center"/>
        <w:outlineLvl w:val="0"/>
        <w:rPr>
          <w:rFonts w:ascii="黑体" w:hAnsi="宋体" w:eastAsia="黑体" w:cs="宋体"/>
          <w:kern w:val="0"/>
          <w:sz w:val="28"/>
          <w:szCs w:val="28"/>
        </w:rPr>
      </w:pPr>
      <w:r>
        <w:rPr>
          <w:rFonts w:hint="eastAsia" w:ascii="黑体" w:hAnsi="黑体" w:eastAsia="黑体" w:cs="黑体"/>
          <w:sz w:val="48"/>
          <w:szCs w:val="48"/>
        </w:rPr>
        <w:t xml:space="preserve">      概     况</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中心学校主要职能职责为负责本乡镇辖区内中学、小学、幼儿园的德育、教学、教研、后勤等管理事务。</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研究拟定全镇教育发展战略和教育工作的规定、办法，监督和检查所属学校对党和国家的教育方针、政策、法规的贯彻执行。要依法办学，不断提高管理水平和教育质量。不断改善办学水平和提高教育质量，促进全镇中、小学教育均衡发展。</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管理和指导全镇教育教学研究工作;规划、指导教育现代化和教育信息化工作;发挥中、小学教研中心作用。在中心学校统一领导下，组织全镇中、小学教师开展教育教学研究课、教学观摩、教学竞赛、课题实验、经验交流、教学基本功训练、专题研讨等教研活动。</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3、发挥中小学教师进修培训作用。乡镇中心学校负责制定并实施本乡镇中、小学教师继续教育计划，并有针对性的组织教师参加培训进修，更新教育观念，提高教师职业道德水平和教育教学能力。</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4、管理中、小学学籍。建立全乡镇适龄儿童、少年档案，掌握全镇每学年适龄儿童、适龄少年人数，严格控制学生辍学。已入学学生建立学籍档案，并报教育行政部门备案。</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5、负责本乡镇中、小学教师的教育教学业务档案的管理、教育统计、教师工资统计、学校报账。管理本部门教育经费;拟定教育经费筹措和管理的规定及财务管理制度;统计并监测全镇教育经费的筹措和使用情况。</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6、协助乡镇政府组织发动学生入学，负责和协助学校做好社会治安综合治理及安全保卫工作。</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7、协助教育行政部门做好教师编制核定、资格认定、职务评聘、调配和交流、培训和考核等工作。</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8、协助乡镇政府和教育行政部门做好调整校点布局和改造中小学危房的有关工作。</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9、在教育行政部门指导下，负责组织中小学毕业考试、教育教学质量检测评估工作。</w:t>
      </w:r>
    </w:p>
    <w:p>
      <w:pPr>
        <w:widowControl/>
        <w:ind w:firstLine="640" w:firstLineChars="200"/>
        <w:jc w:val="left"/>
        <w:outlineLvl w:val="1"/>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10、自觉接受县教育局、镇党委、政府及党总支的监督与指导，积极承办镇政府及上级主管部门交办的其他事项。</w:t>
      </w:r>
    </w:p>
    <w:p>
      <w:pPr>
        <w:widowControl/>
        <w:ind w:firstLine="640" w:firstLineChars="200"/>
        <w:jc w:val="left"/>
        <w:outlineLvl w:val="1"/>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尉氏县大营镇中心校内设机构包括：无内设机构设置，服务于全乡中小学校。学校包括：1所中学、17所小学</w:t>
      </w:r>
      <w:bookmarkStart w:id="0" w:name="_GoBack"/>
      <w:bookmarkEnd w:id="0"/>
      <w:r>
        <w:rPr>
          <w:rFonts w:hint="eastAsia" w:ascii="仿宋_GB2312" w:hAnsi="仿宋_GB2312" w:eastAsia="仿宋_GB2312" w:cs="仿宋_GB2312"/>
          <w:color w:val="000000"/>
          <w:sz w:val="32"/>
          <w:szCs w:val="32"/>
        </w:rPr>
        <w:t>。</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从决算单位构成看，尉氏县大营镇中心校2</w:t>
      </w:r>
      <w:r>
        <w:rPr>
          <w:rFonts w:ascii="仿宋_GB2312" w:hAnsi="仿宋_GB2312" w:eastAsia="仿宋_GB2312" w:cs="仿宋_GB2312"/>
          <w:kern w:val="0"/>
          <w:sz w:val="32"/>
          <w:szCs w:val="32"/>
        </w:rPr>
        <w:t>020</w:t>
      </w:r>
      <w:r>
        <w:rPr>
          <w:rFonts w:hint="eastAsia" w:ascii="仿宋_GB2312" w:hAnsi="仿宋_GB2312" w:eastAsia="仿宋_GB2312" w:cs="仿宋_GB2312"/>
          <w:kern w:val="0"/>
          <w:sz w:val="32"/>
          <w:szCs w:val="32"/>
        </w:rPr>
        <w:t>年部门决算公开单位构成包括：尉氏县大营镇中心校本级2</w:t>
      </w:r>
      <w:r>
        <w:rPr>
          <w:rFonts w:ascii="仿宋_GB2312" w:hAnsi="仿宋_GB2312" w:eastAsia="仿宋_GB2312" w:cs="仿宋_GB2312"/>
          <w:kern w:val="0"/>
          <w:sz w:val="32"/>
          <w:szCs w:val="32"/>
        </w:rPr>
        <w:t>020</w:t>
      </w:r>
      <w:r>
        <w:rPr>
          <w:rFonts w:hint="eastAsia" w:ascii="仿宋_GB2312" w:hAnsi="仿宋_GB2312" w:eastAsia="仿宋_GB2312" w:cs="仿宋_GB2312"/>
          <w:kern w:val="0"/>
          <w:sz w:val="32"/>
          <w:szCs w:val="32"/>
        </w:rPr>
        <w:t>年部门决算。</w:t>
      </w:r>
    </w:p>
    <w:p>
      <w:pPr>
        <w:widowControl/>
        <w:ind w:firstLine="640" w:firstLineChars="200"/>
        <w:jc w:val="left"/>
        <w:rPr>
          <w:rFonts w:ascii="黑体" w:hAnsi="宋体" w:eastAsia="黑体" w:cs="宋体"/>
          <w:kern w:val="0"/>
          <w:sz w:val="28"/>
          <w:szCs w:val="28"/>
        </w:rPr>
      </w:pPr>
      <w:r>
        <w:rPr>
          <w:rFonts w:hint="eastAsia" w:ascii="仿宋_GB2312" w:hAnsi="仿宋_GB2312" w:eastAsia="仿宋_GB2312" w:cs="仿宋_GB2312"/>
          <w:kern w:val="0"/>
          <w:sz w:val="32"/>
          <w:szCs w:val="32"/>
        </w:rPr>
        <w:t>2020年度，</w:t>
      </w:r>
      <w:r>
        <w:rPr>
          <w:rFonts w:hint="eastAsia" w:ascii="仿宋_GB2312" w:hAnsi="仿宋_GB2312" w:eastAsia="仿宋_GB2312" w:cs="仿宋_GB2312"/>
          <w:color w:val="000000"/>
          <w:sz w:val="32"/>
          <w:szCs w:val="32"/>
        </w:rPr>
        <w:t>尉氏县大营镇中心校</w:t>
      </w:r>
      <w:r>
        <w:rPr>
          <w:rFonts w:hint="eastAsia" w:ascii="仿宋_GB2312" w:hAnsi="仿宋_GB2312" w:eastAsia="仿宋_GB2312" w:cs="仿宋_GB2312"/>
          <w:kern w:val="0"/>
          <w:sz w:val="32"/>
          <w:szCs w:val="32"/>
        </w:rPr>
        <w:t>。</w:t>
      </w:r>
      <w:r>
        <w:rPr>
          <w:rFonts w:hint="eastAsia" w:ascii="仿宋" w:hAnsi="仿宋" w:eastAsia="仿宋" w:cs="仿宋"/>
          <w:color w:val="000000"/>
          <w:sz w:val="32"/>
          <w:szCs w:val="32"/>
        </w:rPr>
        <w:t>纳入本部门2020年度部门决算编制范围的单位共18</w:t>
      </w:r>
      <w:r>
        <w:rPr>
          <w:rFonts w:ascii="仿宋" w:hAnsi="仿宋" w:eastAsia="仿宋" w:cs="仿宋"/>
          <w:color w:val="000000"/>
          <w:sz w:val="32"/>
          <w:szCs w:val="32"/>
        </w:rPr>
        <w:t xml:space="preserve"> </w:t>
      </w:r>
      <w:r>
        <w:rPr>
          <w:rFonts w:hint="eastAsia" w:ascii="仿宋" w:hAnsi="仿宋" w:eastAsia="仿宋" w:cs="仿宋"/>
          <w:color w:val="000000"/>
          <w:sz w:val="32"/>
          <w:szCs w:val="32"/>
        </w:rPr>
        <w:t>个，其中二级预算单位0个，具体是：大营镇中心学校、大营镇中心小学、 大营镇黑凡小学、大营镇玉陈小学、大营镇许家小学、大营镇檀头高小学、大营镇寨黄小学、大营镇黄家小学、大营镇卢家小学、大营镇石槽王小学、大营镇丁香李小学、大营镇三户赵小学、大营镇椅圈马小学、大营镇陈村小学、大营镇东凡小学、大营镇祥付张小学、大营镇芦医庙小学、大营镇枣朱小学。</w:t>
      </w:r>
      <w:r>
        <w:rPr>
          <w:rFonts w:ascii="黑体" w:hAnsi="宋体" w:eastAsia="黑体" w:cs="宋体"/>
          <w:kern w:val="0"/>
          <w:sz w:val="28"/>
          <w:szCs w:val="28"/>
        </w:rPr>
        <w:t xml:space="preserve"> </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第二部分  2020年度部门决算表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4"/>
        <w:tblW w:w="14120" w:type="dxa"/>
        <w:tblInd w:w="0" w:type="dxa"/>
        <w:tblLayout w:type="autofit"/>
        <w:tblCellMar>
          <w:top w:w="0" w:type="dxa"/>
          <w:left w:w="108" w:type="dxa"/>
          <w:bottom w:w="0" w:type="dxa"/>
          <w:right w:w="108" w:type="dxa"/>
        </w:tblCellMar>
      </w:tblPr>
      <w:tblGrid>
        <w:gridCol w:w="4220"/>
        <w:gridCol w:w="580"/>
        <w:gridCol w:w="2260"/>
        <w:gridCol w:w="4220"/>
        <w:gridCol w:w="580"/>
        <w:gridCol w:w="2260"/>
      </w:tblGrid>
      <w:tr>
        <w:tblPrEx>
          <w:tblCellMar>
            <w:top w:w="0" w:type="dxa"/>
            <w:left w:w="108" w:type="dxa"/>
            <w:bottom w:w="0" w:type="dxa"/>
            <w:right w:w="108" w:type="dxa"/>
          </w:tblCellMar>
        </w:tblPrEx>
        <w:trPr>
          <w:trHeight w:val="390" w:hRule="atLeast"/>
        </w:trPr>
        <w:tc>
          <w:tcPr>
            <w:tcW w:w="14120" w:type="dxa"/>
            <w:gridSpan w:val="6"/>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收入支出决算总表</w:t>
            </w:r>
          </w:p>
        </w:tc>
      </w:tr>
      <w:tr>
        <w:tblPrEx>
          <w:tblCellMar>
            <w:top w:w="0" w:type="dxa"/>
            <w:left w:w="108" w:type="dxa"/>
            <w:bottom w:w="0" w:type="dxa"/>
            <w:right w:w="108" w:type="dxa"/>
          </w:tblCellMar>
        </w:tblPrEx>
        <w:trPr>
          <w:trHeight w:val="255" w:hRule="atLeast"/>
        </w:trPr>
        <w:tc>
          <w:tcPr>
            <w:tcW w:w="42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42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公开01表</w:t>
            </w:r>
          </w:p>
        </w:tc>
      </w:tr>
      <w:tr>
        <w:tblPrEx>
          <w:tblCellMar>
            <w:top w:w="0" w:type="dxa"/>
            <w:left w:w="108" w:type="dxa"/>
            <w:bottom w:w="0" w:type="dxa"/>
            <w:right w:w="108" w:type="dxa"/>
          </w:tblCellMar>
        </w:tblPrEx>
        <w:trPr>
          <w:trHeight w:val="255" w:hRule="atLeast"/>
        </w:trPr>
        <w:tc>
          <w:tcPr>
            <w:tcW w:w="4220"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部门：尉氏县大营乡中心学校</w:t>
            </w:r>
          </w:p>
        </w:tc>
        <w:tc>
          <w:tcPr>
            <w:tcW w:w="580"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42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706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收入</w:t>
            </w:r>
          </w:p>
        </w:tc>
        <w:tc>
          <w:tcPr>
            <w:tcW w:w="7060"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支出</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3,052.92</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三、国有资本经营预算财政拨款收入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四、上级补助收入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五、事业收入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2,815.24</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六、经营收入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七、附属单位上缴收入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八、其他收入</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275.49</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十四、资源勘探工业信息等支出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二十一、国有资本经营预算支出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二十二、灾害防治及应急管理支出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二十三、其他支出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二十四、债务还本支出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二十五、债务付息支出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26</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二十六、抗疫特别国债安排的支出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3,052.92</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3,188.23</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使用非财政拨款结余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结余分配</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276.55</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141.25</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4220"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8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3,329.47</w:t>
            </w:r>
          </w:p>
        </w:tc>
        <w:tc>
          <w:tcPr>
            <w:tcW w:w="422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3,329.47</w:t>
            </w:r>
          </w:p>
        </w:tc>
      </w:tr>
      <w:tr>
        <w:tblPrEx>
          <w:tblCellMar>
            <w:top w:w="0" w:type="dxa"/>
            <w:left w:w="108" w:type="dxa"/>
            <w:bottom w:w="0" w:type="dxa"/>
            <w:right w:w="108" w:type="dxa"/>
          </w:tblCellMar>
        </w:tblPrEx>
        <w:trPr>
          <w:trHeight w:val="308" w:hRule="atLeast"/>
        </w:trPr>
        <w:tc>
          <w:tcPr>
            <w:tcW w:w="14120" w:type="dxa"/>
            <w:gridSpan w:val="6"/>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注：本表反映部门本年度的总收支和年末结转结余情况。本套报表金额单位转换时可能存在尾数误差。</w:t>
            </w:r>
          </w:p>
        </w:tc>
      </w:tr>
    </w:tbl>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4"/>
        <w:tblW w:w="14133" w:type="dxa"/>
        <w:jc w:val="center"/>
        <w:tblLayout w:type="autofit"/>
        <w:tblCellMar>
          <w:top w:w="0" w:type="dxa"/>
          <w:left w:w="108" w:type="dxa"/>
          <w:bottom w:w="0" w:type="dxa"/>
          <w:right w:w="108" w:type="dxa"/>
        </w:tblCellMar>
      </w:tblPr>
      <w:tblGrid>
        <w:gridCol w:w="340"/>
        <w:gridCol w:w="340"/>
        <w:gridCol w:w="340"/>
        <w:gridCol w:w="2949"/>
        <w:gridCol w:w="1418"/>
        <w:gridCol w:w="1559"/>
        <w:gridCol w:w="1418"/>
        <w:gridCol w:w="1417"/>
        <w:gridCol w:w="1276"/>
        <w:gridCol w:w="1276"/>
        <w:gridCol w:w="1800"/>
      </w:tblGrid>
      <w:tr>
        <w:tblPrEx>
          <w:tblCellMar>
            <w:top w:w="0" w:type="dxa"/>
            <w:left w:w="108" w:type="dxa"/>
            <w:bottom w:w="0" w:type="dxa"/>
            <w:right w:w="108" w:type="dxa"/>
          </w:tblCellMar>
        </w:tblPrEx>
        <w:trPr>
          <w:trHeight w:val="390" w:hRule="atLeast"/>
          <w:jc w:val="center"/>
        </w:trPr>
        <w:tc>
          <w:tcPr>
            <w:tcW w:w="14133" w:type="dxa"/>
            <w:gridSpan w:val="11"/>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收入决算表</w:t>
            </w:r>
          </w:p>
        </w:tc>
      </w:tr>
      <w:tr>
        <w:tblPrEx>
          <w:tblCellMar>
            <w:top w:w="0" w:type="dxa"/>
            <w:left w:w="108" w:type="dxa"/>
            <w:bottom w:w="0" w:type="dxa"/>
            <w:right w:w="108" w:type="dxa"/>
          </w:tblCellMar>
        </w:tblPrEx>
        <w:trPr>
          <w:trHeight w:val="255" w:hRule="atLeast"/>
          <w:jc w:val="center"/>
        </w:trPr>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94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公开02表</w:t>
            </w:r>
          </w:p>
        </w:tc>
      </w:tr>
      <w:tr>
        <w:tblPrEx>
          <w:tblCellMar>
            <w:top w:w="0" w:type="dxa"/>
            <w:left w:w="108" w:type="dxa"/>
            <w:bottom w:w="0" w:type="dxa"/>
            <w:right w:w="108" w:type="dxa"/>
          </w:tblCellMar>
        </w:tblPrEx>
        <w:trPr>
          <w:trHeight w:val="255" w:hRule="atLeast"/>
          <w:jc w:val="center"/>
        </w:trPr>
        <w:tc>
          <w:tcPr>
            <w:tcW w:w="3969"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部门：尉氏县大营乡中心学校</w:t>
            </w:r>
          </w:p>
        </w:tc>
        <w:tc>
          <w:tcPr>
            <w:tcW w:w="1418"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3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41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本年收入合计</w:t>
            </w:r>
          </w:p>
        </w:tc>
        <w:tc>
          <w:tcPr>
            <w:tcW w:w="155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财政拨款收入</w:t>
            </w:r>
          </w:p>
        </w:tc>
        <w:tc>
          <w:tcPr>
            <w:tcW w:w="141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上级补助收入</w:t>
            </w:r>
          </w:p>
        </w:tc>
        <w:tc>
          <w:tcPr>
            <w:tcW w:w="1417"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事业收入</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经营收入</w:t>
            </w:r>
          </w:p>
        </w:tc>
        <w:tc>
          <w:tcPr>
            <w:tcW w:w="1276"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附属单位上缴收入</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其他收入</w:t>
            </w:r>
          </w:p>
        </w:tc>
      </w:tr>
      <w:tr>
        <w:tblPrEx>
          <w:tblCellMar>
            <w:top w:w="0" w:type="dxa"/>
            <w:left w:w="108" w:type="dxa"/>
            <w:bottom w:w="0" w:type="dxa"/>
            <w:right w:w="108" w:type="dxa"/>
          </w:tblCellMar>
        </w:tblPrEx>
        <w:trPr>
          <w:trHeight w:val="312" w:hRule="atLeast"/>
          <w:jc w:val="center"/>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2949"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94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94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7"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6"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396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r>
      <w:tr>
        <w:tblPrEx>
          <w:tblCellMar>
            <w:top w:w="0" w:type="dxa"/>
            <w:left w:w="108" w:type="dxa"/>
            <w:bottom w:w="0" w:type="dxa"/>
            <w:right w:w="108" w:type="dxa"/>
          </w:tblCellMar>
        </w:tblPrEx>
        <w:trPr>
          <w:trHeight w:val="308" w:hRule="atLeast"/>
          <w:jc w:val="center"/>
        </w:trPr>
        <w:tc>
          <w:tcPr>
            <w:tcW w:w="396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3,052.92</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3,052.92</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2,679.94</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2,679.94</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普通教育</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2,679.94</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2,679.94</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2050202</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小学教育</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2,044.80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2,044.80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2050203</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初中教育</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635.13</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635.13</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275.49</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275.49</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行政事业单位养老支出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94.62</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94.62</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2080502</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事业单位离退休</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94.62</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94.62</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其他社会保障和就业支出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180.87</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180.87</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2089901</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其他社会保障和就业支出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180.87</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180.87</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2101102</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事业单位医疗</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2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4133" w:type="dxa"/>
            <w:gridSpan w:val="11"/>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注：本表反映部门本年度取得的各项收入情况。</w:t>
            </w:r>
          </w:p>
        </w:tc>
      </w:tr>
    </w:tbl>
    <w:p>
      <w:pPr>
        <w:widowControl/>
        <w:jc w:val="left"/>
        <w:rPr>
          <w:rFonts w:ascii="仿宋_GB2312" w:hAnsi="仿宋_GB2312" w:eastAsia="仿宋_GB2312" w:cs="仿宋_GB2312"/>
          <w:sz w:val="32"/>
          <w:szCs w:val="32"/>
        </w:rPr>
      </w:pPr>
    </w:p>
    <w:tbl>
      <w:tblPr>
        <w:tblStyle w:val="4"/>
        <w:tblW w:w="13566" w:type="dxa"/>
        <w:jc w:val="center"/>
        <w:tblLayout w:type="autofit"/>
        <w:tblCellMar>
          <w:top w:w="0" w:type="dxa"/>
          <w:left w:w="108" w:type="dxa"/>
          <w:bottom w:w="0" w:type="dxa"/>
          <w:right w:w="108" w:type="dxa"/>
        </w:tblCellMar>
      </w:tblPr>
      <w:tblGrid>
        <w:gridCol w:w="340"/>
        <w:gridCol w:w="340"/>
        <w:gridCol w:w="340"/>
        <w:gridCol w:w="2949"/>
        <w:gridCol w:w="1800"/>
        <w:gridCol w:w="1800"/>
        <w:gridCol w:w="1220"/>
        <w:gridCol w:w="1559"/>
        <w:gridCol w:w="1418"/>
        <w:gridCol w:w="1800"/>
      </w:tblGrid>
      <w:tr>
        <w:tblPrEx>
          <w:tblCellMar>
            <w:top w:w="0" w:type="dxa"/>
            <w:left w:w="108" w:type="dxa"/>
            <w:bottom w:w="0" w:type="dxa"/>
            <w:right w:w="108" w:type="dxa"/>
          </w:tblCellMar>
        </w:tblPrEx>
        <w:trPr>
          <w:trHeight w:val="390" w:hRule="atLeast"/>
          <w:jc w:val="center"/>
        </w:trPr>
        <w:tc>
          <w:tcPr>
            <w:tcW w:w="13566" w:type="dxa"/>
            <w:gridSpan w:val="10"/>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支出决算表</w:t>
            </w:r>
          </w:p>
        </w:tc>
      </w:tr>
      <w:tr>
        <w:tblPrEx>
          <w:tblCellMar>
            <w:top w:w="0" w:type="dxa"/>
            <w:left w:w="108" w:type="dxa"/>
            <w:bottom w:w="0" w:type="dxa"/>
            <w:right w:w="108" w:type="dxa"/>
          </w:tblCellMar>
        </w:tblPrEx>
        <w:trPr>
          <w:trHeight w:val="255" w:hRule="atLeast"/>
          <w:jc w:val="center"/>
        </w:trPr>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94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公开03表</w:t>
            </w:r>
          </w:p>
        </w:tc>
      </w:tr>
      <w:tr>
        <w:tblPrEx>
          <w:tblCellMar>
            <w:top w:w="0" w:type="dxa"/>
            <w:left w:w="108" w:type="dxa"/>
            <w:bottom w:w="0" w:type="dxa"/>
            <w:right w:w="108" w:type="dxa"/>
          </w:tblCellMar>
        </w:tblPrEx>
        <w:trPr>
          <w:trHeight w:val="255" w:hRule="atLeast"/>
          <w:jc w:val="center"/>
        </w:trPr>
        <w:tc>
          <w:tcPr>
            <w:tcW w:w="3969"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部门：尉氏县大营乡中心学校</w:t>
            </w:r>
          </w:p>
        </w:tc>
        <w:tc>
          <w:tcPr>
            <w:tcW w:w="1800"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80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55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396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本年支出合计</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22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1559"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上缴上级支出</w:t>
            </w:r>
          </w:p>
        </w:tc>
        <w:tc>
          <w:tcPr>
            <w:tcW w:w="141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经营支出</w:t>
            </w:r>
          </w:p>
        </w:tc>
        <w:tc>
          <w:tcPr>
            <w:tcW w:w="180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对附属单位补助支出</w:t>
            </w:r>
          </w:p>
        </w:tc>
      </w:tr>
      <w:tr>
        <w:tblPrEx>
          <w:tblCellMar>
            <w:top w:w="0" w:type="dxa"/>
            <w:left w:w="108" w:type="dxa"/>
            <w:bottom w:w="0" w:type="dxa"/>
            <w:right w:w="108" w:type="dxa"/>
          </w:tblCellMar>
        </w:tblPrEx>
        <w:trPr>
          <w:trHeight w:val="312" w:hRule="atLeast"/>
          <w:jc w:val="center"/>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2949"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2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94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2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94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2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559"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396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2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5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80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CellMar>
            <w:top w:w="0" w:type="dxa"/>
            <w:left w:w="108" w:type="dxa"/>
            <w:bottom w:w="0" w:type="dxa"/>
            <w:right w:w="108" w:type="dxa"/>
          </w:tblCellMar>
        </w:tblPrEx>
        <w:trPr>
          <w:trHeight w:val="308" w:hRule="atLeast"/>
          <w:jc w:val="center"/>
        </w:trPr>
        <w:tc>
          <w:tcPr>
            <w:tcW w:w="3969"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3,188.23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3,188.23</w:t>
            </w:r>
          </w:p>
        </w:tc>
        <w:tc>
          <w:tcPr>
            <w:tcW w:w="12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ind w:left="-1" w:leftChars="-388" w:hanging="814" w:hangingChars="370"/>
              <w:jc w:val="right"/>
              <w:rPr>
                <w:rFonts w:ascii="宋体" w:hAnsi="宋体" w:cs="Arial"/>
                <w:color w:val="000000"/>
                <w:kern w:val="0"/>
                <w:sz w:val="22"/>
              </w:rPr>
            </w:pPr>
            <w:r>
              <w:rPr>
                <w:rFonts w:hint="eastAsia" w:ascii="宋体" w:hAnsi="宋体" w:cs="Arial"/>
                <w:color w:val="000000"/>
                <w:kern w:val="0"/>
                <w:sz w:val="22"/>
              </w:rPr>
              <w:t>2,815.24</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2,815.24</w:t>
            </w:r>
          </w:p>
        </w:tc>
        <w:tc>
          <w:tcPr>
            <w:tcW w:w="12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普通教育</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2,815.24</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2,815.24</w:t>
            </w:r>
          </w:p>
        </w:tc>
        <w:tc>
          <w:tcPr>
            <w:tcW w:w="12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2050202</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小学教育</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2,111.29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2,111.29</w:t>
            </w:r>
          </w:p>
        </w:tc>
        <w:tc>
          <w:tcPr>
            <w:tcW w:w="12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2050203</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初中教育</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703.95</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703.95</w:t>
            </w:r>
          </w:p>
        </w:tc>
        <w:tc>
          <w:tcPr>
            <w:tcW w:w="12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275.49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275.49</w:t>
            </w:r>
          </w:p>
        </w:tc>
        <w:tc>
          <w:tcPr>
            <w:tcW w:w="12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行政事业单位养老支出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94.62</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94.62</w:t>
            </w:r>
          </w:p>
        </w:tc>
        <w:tc>
          <w:tcPr>
            <w:tcW w:w="12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2080502</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事业单位离退休</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94.62</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94.62</w:t>
            </w:r>
          </w:p>
        </w:tc>
        <w:tc>
          <w:tcPr>
            <w:tcW w:w="12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其他社会保障和就业支出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180.87</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180.87</w:t>
            </w:r>
          </w:p>
        </w:tc>
        <w:tc>
          <w:tcPr>
            <w:tcW w:w="12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2089901</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其他社会保障和就业支出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180.87</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180.87</w:t>
            </w:r>
          </w:p>
        </w:tc>
        <w:tc>
          <w:tcPr>
            <w:tcW w:w="12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12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12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2101102</w:t>
            </w:r>
          </w:p>
        </w:tc>
        <w:tc>
          <w:tcPr>
            <w:tcW w:w="294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事业单位医疗</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12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55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3566" w:type="dxa"/>
            <w:gridSpan w:val="10"/>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注：本表反映部门本年度各项支出情况。</w:t>
            </w:r>
          </w:p>
        </w:tc>
      </w:tr>
    </w:tbl>
    <w:p>
      <w:pPr>
        <w:widowControl/>
        <w:spacing w:line="590" w:lineRule="exact"/>
        <w:jc w:val="left"/>
        <w:rPr>
          <w:rFonts w:ascii="仿宋_GB2312" w:hAnsi="仿宋_GB2312" w:eastAsia="仿宋_GB2312" w:cs="仿宋_GB2312"/>
          <w:sz w:val="32"/>
          <w:szCs w:val="32"/>
        </w:rPr>
      </w:pPr>
    </w:p>
    <w:tbl>
      <w:tblPr>
        <w:tblStyle w:val="4"/>
        <w:tblW w:w="14281" w:type="dxa"/>
        <w:tblInd w:w="0" w:type="dxa"/>
        <w:tblLayout w:type="autofit"/>
        <w:tblCellMar>
          <w:top w:w="0" w:type="dxa"/>
          <w:left w:w="108" w:type="dxa"/>
          <w:bottom w:w="0" w:type="dxa"/>
          <w:right w:w="108" w:type="dxa"/>
        </w:tblCellMar>
      </w:tblPr>
      <w:tblGrid>
        <w:gridCol w:w="3119"/>
        <w:gridCol w:w="580"/>
        <w:gridCol w:w="1243"/>
        <w:gridCol w:w="3119"/>
        <w:gridCol w:w="580"/>
        <w:gridCol w:w="1289"/>
        <w:gridCol w:w="1417"/>
        <w:gridCol w:w="1134"/>
        <w:gridCol w:w="1800"/>
      </w:tblGrid>
      <w:tr>
        <w:tblPrEx>
          <w:tblCellMar>
            <w:top w:w="0" w:type="dxa"/>
            <w:left w:w="108" w:type="dxa"/>
            <w:bottom w:w="0" w:type="dxa"/>
            <w:right w:w="108" w:type="dxa"/>
          </w:tblCellMar>
        </w:tblPrEx>
        <w:trPr>
          <w:trHeight w:val="390" w:hRule="atLeast"/>
        </w:trPr>
        <w:tc>
          <w:tcPr>
            <w:tcW w:w="14281" w:type="dxa"/>
            <w:gridSpan w:val="9"/>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财政拨款收入支出决算总表</w:t>
            </w:r>
          </w:p>
        </w:tc>
      </w:tr>
      <w:tr>
        <w:tblPrEx>
          <w:tblCellMar>
            <w:top w:w="0" w:type="dxa"/>
            <w:left w:w="108" w:type="dxa"/>
            <w:bottom w:w="0" w:type="dxa"/>
            <w:right w:w="108" w:type="dxa"/>
          </w:tblCellMar>
        </w:tblPrEx>
        <w:trPr>
          <w:trHeight w:val="255" w:hRule="atLeast"/>
        </w:trPr>
        <w:tc>
          <w:tcPr>
            <w:tcW w:w="311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4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11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8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公开04表</w:t>
            </w:r>
          </w:p>
        </w:tc>
      </w:tr>
      <w:tr>
        <w:tblPrEx>
          <w:tblCellMar>
            <w:top w:w="0" w:type="dxa"/>
            <w:left w:w="108" w:type="dxa"/>
            <w:bottom w:w="0" w:type="dxa"/>
            <w:right w:w="108" w:type="dxa"/>
          </w:tblCellMar>
        </w:tblPrEx>
        <w:trPr>
          <w:trHeight w:val="255" w:hRule="atLeast"/>
        </w:trPr>
        <w:tc>
          <w:tcPr>
            <w:tcW w:w="3119"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部门：尉氏县大营乡中心学校</w:t>
            </w:r>
          </w:p>
        </w:tc>
        <w:tc>
          <w:tcPr>
            <w:tcW w:w="580"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243"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11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5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8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17"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94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收     入</w:t>
            </w:r>
          </w:p>
        </w:tc>
        <w:tc>
          <w:tcPr>
            <w:tcW w:w="9339"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支     出</w:t>
            </w:r>
          </w:p>
        </w:tc>
      </w:tr>
      <w:tr>
        <w:tblPrEx>
          <w:tblCellMar>
            <w:top w:w="0" w:type="dxa"/>
            <w:left w:w="108" w:type="dxa"/>
            <w:bottom w:w="0" w:type="dxa"/>
            <w:right w:w="108" w:type="dxa"/>
          </w:tblCellMar>
        </w:tblPrEx>
        <w:trPr>
          <w:trHeight w:val="312" w:hRule="atLeast"/>
        </w:trPr>
        <w:tc>
          <w:tcPr>
            <w:tcW w:w="31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24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金额</w:t>
            </w:r>
          </w:p>
        </w:tc>
        <w:tc>
          <w:tcPr>
            <w:tcW w:w="311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5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1289"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417"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一般公共预算财政拨款</w:t>
            </w:r>
          </w:p>
        </w:tc>
        <w:tc>
          <w:tcPr>
            <w:tcW w:w="11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政府性基金预算财政拨款</w:t>
            </w:r>
          </w:p>
        </w:tc>
        <w:tc>
          <w:tcPr>
            <w:tcW w:w="18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国有资本经营预算财政拨款</w:t>
            </w:r>
          </w:p>
        </w:tc>
      </w:tr>
      <w:tr>
        <w:tblPrEx>
          <w:tblCellMar>
            <w:top w:w="0" w:type="dxa"/>
            <w:left w:w="108" w:type="dxa"/>
            <w:bottom w:w="0" w:type="dxa"/>
            <w:right w:w="108" w:type="dxa"/>
          </w:tblCellMar>
        </w:tblPrEx>
        <w:trPr>
          <w:trHeight w:val="615" w:hRule="atLeast"/>
        </w:trPr>
        <w:tc>
          <w:tcPr>
            <w:tcW w:w="3119"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5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4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311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5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8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17"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3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　</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3,052.92</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一、一般公共服务支出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33</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二、政府性基金预算财政拨款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二、外交支出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34</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三、国有资本经营财政拨款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三、国防支出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35</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四、公共安全支出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36</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五、教育支出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37</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2,815.24</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2,815.24</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六、科学技术支出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38</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七、文化旅游体育与传媒支出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39</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八、社会保障和就业支出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40</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275.49</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275.49</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九、卫生健康支出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41</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十、节能环保支出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42</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十一、城乡社区支出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43</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十二、农林水支出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44</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13</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十三、交通运输支出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45</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14</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十四、资源勘探工业信息等支出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46</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15</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十五、商业服务业等支出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47</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16</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十六、金融支出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48</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17</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十七、援助其他地区支出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49</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18</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十八、自然资源海洋气象等支出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50</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19</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十九、住房保障支出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51</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20</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二十、粮油物资储备支出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52</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21</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二十一、国有资本经营预算支出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53</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22</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二十二、灾害防治及应急管理支出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54</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23</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二十三、其他支出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55</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24</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二十四、债务还本支出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56</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25</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二十五、债务付息支出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57</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26</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二十六、抗疫特别国债安排的支出</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58</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本年收入合计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27</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3,052.92</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本年支出合计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59</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3,188.23</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3,188.23</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年初财政拨款结转和结余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28</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276.55</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年末财政拨款结转和结余</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60</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141.25</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141.25</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一般公共预算财政拨款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29</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276.55</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61</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政府性基金预算财政拨款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30</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62</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国有资本经营预算财政拨款</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31</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63</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trPr>
        <w:tc>
          <w:tcPr>
            <w:tcW w:w="3119"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80" w:type="dxa"/>
            <w:tcBorders>
              <w:top w:val="nil"/>
              <w:left w:val="nil"/>
              <w:bottom w:val="single" w:color="000000" w:sz="8"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32</w:t>
            </w:r>
          </w:p>
        </w:tc>
        <w:tc>
          <w:tcPr>
            <w:tcW w:w="1243"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3,329.47</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b/>
                <w:bCs/>
                <w:color w:val="000000"/>
                <w:kern w:val="0"/>
                <w:sz w:val="22"/>
              </w:rPr>
            </w:pPr>
            <w:r>
              <w:rPr>
                <w:rFonts w:hint="eastAsia" w:ascii="宋体" w:hAnsi="宋体" w:cs="Arial"/>
                <w:b/>
                <w:bCs/>
                <w:color w:val="000000"/>
                <w:kern w:val="0"/>
                <w:sz w:val="22"/>
              </w:rPr>
              <w:t>总计</w:t>
            </w:r>
          </w:p>
        </w:tc>
        <w:tc>
          <w:tcPr>
            <w:tcW w:w="5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64</w:t>
            </w:r>
          </w:p>
        </w:tc>
        <w:tc>
          <w:tcPr>
            <w:tcW w:w="128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3,329.47</w:t>
            </w:r>
          </w:p>
        </w:tc>
        <w:tc>
          <w:tcPr>
            <w:tcW w:w="1417"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3,329.47</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trPr>
        <w:tc>
          <w:tcPr>
            <w:tcW w:w="12481" w:type="dxa"/>
            <w:gridSpan w:val="8"/>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注：本表反映部门本年度一般公共预算财政拨款、政府性基金预算财政拨款和国有资本经营预算财政拨款的总收支和年末结转结余情况。</w:t>
            </w:r>
          </w:p>
        </w:tc>
        <w:tc>
          <w:tcPr>
            <w:tcW w:w="1800" w:type="dxa"/>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p>
        </w:tc>
      </w:tr>
    </w:tbl>
    <w:p>
      <w:pPr>
        <w:widowControl/>
        <w:jc w:val="left"/>
        <w:rPr>
          <w:rFonts w:ascii="黑体" w:hAnsi="宋体" w:eastAsia="黑体" w:cs="宋体"/>
          <w:kern w:val="0"/>
          <w:sz w:val="28"/>
          <w:szCs w:val="28"/>
        </w:rPr>
      </w:pPr>
    </w:p>
    <w:tbl>
      <w:tblPr>
        <w:tblStyle w:val="4"/>
        <w:tblW w:w="11740" w:type="dxa"/>
        <w:jc w:val="center"/>
        <w:tblLayout w:type="autofit"/>
        <w:tblCellMar>
          <w:top w:w="0" w:type="dxa"/>
          <w:left w:w="108" w:type="dxa"/>
          <w:bottom w:w="0" w:type="dxa"/>
          <w:right w:w="108" w:type="dxa"/>
        </w:tblCellMar>
      </w:tblPr>
      <w:tblGrid>
        <w:gridCol w:w="340"/>
        <w:gridCol w:w="340"/>
        <w:gridCol w:w="340"/>
        <w:gridCol w:w="3940"/>
        <w:gridCol w:w="2260"/>
        <w:gridCol w:w="2260"/>
        <w:gridCol w:w="2260"/>
      </w:tblGrid>
      <w:tr>
        <w:tblPrEx>
          <w:tblCellMar>
            <w:top w:w="0" w:type="dxa"/>
            <w:left w:w="108" w:type="dxa"/>
            <w:bottom w:w="0" w:type="dxa"/>
            <w:right w:w="108" w:type="dxa"/>
          </w:tblCellMar>
        </w:tblPrEx>
        <w:trPr>
          <w:trHeight w:val="390" w:hRule="atLeast"/>
          <w:jc w:val="center"/>
        </w:trPr>
        <w:tc>
          <w:tcPr>
            <w:tcW w:w="11740" w:type="dxa"/>
            <w:gridSpan w:val="7"/>
            <w:tcBorders>
              <w:top w:val="nil"/>
              <w:left w:val="nil"/>
              <w:bottom w:val="nil"/>
              <w:right w:val="nil"/>
            </w:tcBorders>
            <w:shd w:val="clear" w:color="auto" w:fill="auto"/>
            <w:noWrap/>
            <w:vAlign w:val="center"/>
          </w:tcPr>
          <w:p>
            <w:pPr>
              <w:widowControl/>
              <w:jc w:val="center"/>
              <w:rPr>
                <w:rFonts w:ascii="Times New Roman" w:hAnsi="Times New Roman" w:cs="宋体"/>
                <w:kern w:val="0"/>
                <w:sz w:val="20"/>
                <w:szCs w:val="20"/>
              </w:rPr>
            </w:pPr>
            <w:r>
              <w:rPr>
                <w:rFonts w:ascii="黑体" w:hAnsi="宋体" w:eastAsia="黑体" w:cs="宋体"/>
                <w:kern w:val="0"/>
                <w:sz w:val="28"/>
                <w:szCs w:val="28"/>
              </w:rPr>
              <w:br w:type="page"/>
            </w:r>
          </w:p>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一般公共预算财政拨款支出决算表</w:t>
            </w:r>
          </w:p>
        </w:tc>
      </w:tr>
      <w:tr>
        <w:tblPrEx>
          <w:tblCellMar>
            <w:top w:w="0" w:type="dxa"/>
            <w:left w:w="108" w:type="dxa"/>
            <w:bottom w:w="0" w:type="dxa"/>
            <w:right w:w="108" w:type="dxa"/>
          </w:tblCellMar>
        </w:tblPrEx>
        <w:trPr>
          <w:trHeight w:val="255" w:hRule="atLeast"/>
          <w:jc w:val="center"/>
        </w:trPr>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9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公开05表</w:t>
            </w:r>
          </w:p>
        </w:tc>
      </w:tr>
      <w:tr>
        <w:tblPrEx>
          <w:tblCellMar>
            <w:top w:w="0" w:type="dxa"/>
            <w:left w:w="108" w:type="dxa"/>
            <w:bottom w:w="0" w:type="dxa"/>
            <w:right w:w="108" w:type="dxa"/>
          </w:tblCellMar>
        </w:tblPrEx>
        <w:trPr>
          <w:trHeight w:val="255" w:hRule="atLeast"/>
          <w:jc w:val="center"/>
        </w:trPr>
        <w:tc>
          <w:tcPr>
            <w:tcW w:w="4960"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部门：尉氏县大营乡中心学校</w:t>
            </w:r>
          </w:p>
        </w:tc>
        <w:tc>
          <w:tcPr>
            <w:tcW w:w="2260"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226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26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49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67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r>
      <w:tr>
        <w:tblPrEx>
          <w:tblCellMar>
            <w:top w:w="0" w:type="dxa"/>
            <w:left w:w="108" w:type="dxa"/>
            <w:bottom w:w="0" w:type="dxa"/>
            <w:right w:w="108" w:type="dxa"/>
          </w:tblCellMar>
        </w:tblPrEx>
        <w:trPr>
          <w:trHeight w:val="312" w:hRule="atLeast"/>
          <w:jc w:val="center"/>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3940"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22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39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39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2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496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r>
      <w:tr>
        <w:tblPrEx>
          <w:tblCellMar>
            <w:top w:w="0" w:type="dxa"/>
            <w:left w:w="108" w:type="dxa"/>
            <w:bottom w:w="0" w:type="dxa"/>
            <w:right w:w="108" w:type="dxa"/>
          </w:tblCellMar>
        </w:tblPrEx>
        <w:trPr>
          <w:trHeight w:val="308" w:hRule="atLeast"/>
          <w:jc w:val="center"/>
        </w:trPr>
        <w:tc>
          <w:tcPr>
            <w:tcW w:w="4960"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3,188.23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3,188.23</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b/>
                <w:bCs/>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教育支出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2,815.24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2,815.24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普通教育</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2,815.24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2,815.24</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小学教育</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2,111.29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2,111.29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2050203</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初中教育</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703.95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703.95</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社会保障和就业支出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275.49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275.49</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行政事业单位养老支出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94.62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94.62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2080502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事业单位离退休</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94.62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94.62</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其他社会保障和就业支出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180.87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180.87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2089901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其他社会保障和就业支出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180.87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180.87</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卫生健康支出</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行政事业单位医疗</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2101102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事业单位医疗</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22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11740" w:type="dxa"/>
            <w:gridSpan w:val="7"/>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注：本表反映部门本年度一般公共预算财政拨款支出情况。</w:t>
            </w:r>
          </w:p>
        </w:tc>
      </w:tr>
    </w:tbl>
    <w:p>
      <w:pPr>
        <w:widowControl/>
        <w:jc w:val="left"/>
        <w:rPr>
          <w:rFonts w:ascii="黑体" w:hAnsi="宋体" w:eastAsia="黑体" w:cs="宋体"/>
          <w:kern w:val="0"/>
          <w:sz w:val="28"/>
          <w:szCs w:val="28"/>
        </w:rPr>
      </w:pPr>
    </w:p>
    <w:tbl>
      <w:tblPr>
        <w:tblStyle w:val="4"/>
        <w:tblW w:w="15975" w:type="dxa"/>
        <w:jc w:val="center"/>
        <w:tblLayout w:type="autofit"/>
        <w:tblCellMar>
          <w:top w:w="0" w:type="dxa"/>
          <w:left w:w="108" w:type="dxa"/>
          <w:bottom w:w="0" w:type="dxa"/>
          <w:right w:w="108" w:type="dxa"/>
        </w:tblCellMar>
      </w:tblPr>
      <w:tblGrid>
        <w:gridCol w:w="766"/>
        <w:gridCol w:w="3520"/>
        <w:gridCol w:w="1101"/>
        <w:gridCol w:w="766"/>
        <w:gridCol w:w="2494"/>
        <w:gridCol w:w="992"/>
        <w:gridCol w:w="766"/>
        <w:gridCol w:w="3770"/>
        <w:gridCol w:w="1800"/>
      </w:tblGrid>
      <w:tr>
        <w:tblPrEx>
          <w:tblCellMar>
            <w:top w:w="0" w:type="dxa"/>
            <w:left w:w="108" w:type="dxa"/>
            <w:bottom w:w="0" w:type="dxa"/>
            <w:right w:w="108" w:type="dxa"/>
          </w:tblCellMar>
        </w:tblPrEx>
        <w:trPr>
          <w:trHeight w:val="390" w:hRule="atLeast"/>
          <w:jc w:val="center"/>
        </w:trPr>
        <w:tc>
          <w:tcPr>
            <w:tcW w:w="15975" w:type="dxa"/>
            <w:gridSpan w:val="9"/>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一般公共预算财政拨款基本支出决算表</w:t>
            </w:r>
          </w:p>
        </w:tc>
      </w:tr>
      <w:tr>
        <w:tblPrEx>
          <w:tblCellMar>
            <w:top w:w="0" w:type="dxa"/>
            <w:left w:w="108" w:type="dxa"/>
            <w:bottom w:w="0" w:type="dxa"/>
            <w:right w:w="108" w:type="dxa"/>
          </w:tblCellMar>
        </w:tblPrEx>
        <w:trPr>
          <w:trHeight w:val="255" w:hRule="atLeast"/>
          <w:jc w:val="center"/>
        </w:trPr>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5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01"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49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77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公开06表</w:t>
            </w:r>
          </w:p>
        </w:tc>
      </w:tr>
      <w:tr>
        <w:tblPrEx>
          <w:tblCellMar>
            <w:top w:w="0" w:type="dxa"/>
            <w:left w:w="108" w:type="dxa"/>
            <w:bottom w:w="0" w:type="dxa"/>
            <w:right w:w="108" w:type="dxa"/>
          </w:tblCellMar>
        </w:tblPrEx>
        <w:trPr>
          <w:trHeight w:val="255" w:hRule="atLeast"/>
          <w:jc w:val="center"/>
        </w:trPr>
        <w:tc>
          <w:tcPr>
            <w:tcW w:w="4286" w:type="dxa"/>
            <w:gridSpan w:val="2"/>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部门：尉氏县大营乡中心学校</w:t>
            </w:r>
          </w:p>
        </w:tc>
        <w:tc>
          <w:tcPr>
            <w:tcW w:w="1101"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49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766"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77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80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金额单位：万元</w:t>
            </w:r>
          </w:p>
        </w:tc>
      </w:tr>
      <w:tr>
        <w:tblPrEx>
          <w:tblCellMar>
            <w:top w:w="0" w:type="dxa"/>
            <w:left w:w="108" w:type="dxa"/>
            <w:bottom w:w="0" w:type="dxa"/>
            <w:right w:w="108" w:type="dxa"/>
          </w:tblCellMar>
        </w:tblPrEx>
        <w:trPr>
          <w:trHeight w:val="308" w:hRule="atLeast"/>
          <w:jc w:val="center"/>
        </w:trPr>
        <w:tc>
          <w:tcPr>
            <w:tcW w:w="53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w:t>
            </w:r>
          </w:p>
        </w:tc>
        <w:tc>
          <w:tcPr>
            <w:tcW w:w="10588" w:type="dxa"/>
            <w:gridSpan w:val="6"/>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w:t>
            </w:r>
          </w:p>
        </w:tc>
      </w:tr>
      <w:tr>
        <w:tblPrEx>
          <w:tblCellMar>
            <w:top w:w="0" w:type="dxa"/>
            <w:left w:w="108" w:type="dxa"/>
            <w:bottom w:w="0" w:type="dxa"/>
            <w:right w:w="108" w:type="dxa"/>
          </w:tblCellMar>
        </w:tblPrEx>
        <w:trPr>
          <w:trHeight w:val="312" w:hRule="atLeast"/>
          <w:jc w:val="center"/>
        </w:trPr>
        <w:tc>
          <w:tcPr>
            <w:tcW w:w="76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35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10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249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99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c>
          <w:tcPr>
            <w:tcW w:w="76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科目编码</w:t>
            </w:r>
          </w:p>
        </w:tc>
        <w:tc>
          <w:tcPr>
            <w:tcW w:w="377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8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trHeight w:val="312" w:hRule="atLeast"/>
          <w:jc w:val="center"/>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352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10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76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49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99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76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377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8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工资福利支出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2,525.42</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商品和服务支出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488.71</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债务利息及费用支出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30101</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基本工资</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1,653.33</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30201</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145.57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30701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国内债务付息</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30102</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津贴补贴</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342.28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30202</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印刷费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20.18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30702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国外债务付息</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30103</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30203</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咨询费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资本性支出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3.83</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30106</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伙食补助费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30204</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手续费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房屋建筑物购建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30107</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绩效工资</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251.44</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30205</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3.37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办公设备购置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3.83</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30108</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158.07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30206</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电费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7.11</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31003</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专用设备购置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30109</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职业年金缴费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30207</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邮电费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31005</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基础设施建设</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30110</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职工基本医疗保险缴费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97.50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30208</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取暖费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11.96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31006</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大型修缮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30111</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公务员医疗补助缴费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30209</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物业管理费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15.86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31007</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信息网络及软件购置更新</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30112</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其他社会保障缴费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22.80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30211</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差旅费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0.12</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31008</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物资储备</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30113</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30212</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因公出国（境）费用</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31009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土地补偿</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30114</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30213</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维修（护）费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183.99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31010</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安置补助</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30199</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其他工资福利支出</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30214</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租赁费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地上附着物和青苗补偿</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对个人和家庭的补助</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170.26</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30215</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会议费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拆迁补偿</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30301</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离休费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30216</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培训费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1.77</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31013</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30302</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退休费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30217</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公务接待费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14.23</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31019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其他交通工具购置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30303</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退职（役）费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30218</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专用材料费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11.08</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31021</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文物和陈列品购置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30304</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抚恤金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15.65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30224</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被装购置费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31022</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无形资产购置</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30305</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生活补助</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153.22</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30225</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专用燃料费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31099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其他资本性支出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30306</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救济费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30226</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劳务费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13.45</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30307</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医疗费补助</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30227</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委托业务费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39906</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赠与</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30308</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助学金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1.39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30228</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工会经费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39907</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国家赔偿费用支出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30309</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奖励金</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30229</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福利费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39908</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对民间非营利组织和群众性自治组织补贴</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30310</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个人农业生产补贴</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30231</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公务用车运行维护费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39999</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30311</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代缴社会保险费</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30239</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其他交通费用</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4.32</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30399</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其他对个人和家庭的补助</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30240</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税金及附加费用</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52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30299</w:t>
            </w:r>
          </w:p>
        </w:tc>
        <w:tc>
          <w:tcPr>
            <w:tcW w:w="2494"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其他商品和服务支出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55.69</w:t>
            </w:r>
          </w:p>
        </w:tc>
        <w:tc>
          <w:tcPr>
            <w:tcW w:w="766"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377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CellMar>
            <w:top w:w="0" w:type="dxa"/>
            <w:left w:w="108" w:type="dxa"/>
            <w:bottom w:w="0" w:type="dxa"/>
            <w:right w:w="108" w:type="dxa"/>
          </w:tblCellMar>
        </w:tblPrEx>
        <w:trPr>
          <w:trHeight w:val="308" w:hRule="atLeast"/>
          <w:jc w:val="center"/>
        </w:trPr>
        <w:tc>
          <w:tcPr>
            <w:tcW w:w="4286"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人员经费合计</w:t>
            </w:r>
          </w:p>
        </w:tc>
        <w:tc>
          <w:tcPr>
            <w:tcW w:w="110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2,695.68</w:t>
            </w:r>
          </w:p>
        </w:tc>
        <w:tc>
          <w:tcPr>
            <w:tcW w:w="8788" w:type="dxa"/>
            <w:gridSpan w:val="5"/>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公用经费合计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492.54</w:t>
            </w:r>
          </w:p>
        </w:tc>
      </w:tr>
      <w:tr>
        <w:tblPrEx>
          <w:tblCellMar>
            <w:top w:w="0" w:type="dxa"/>
            <w:left w:w="108" w:type="dxa"/>
            <w:bottom w:w="0" w:type="dxa"/>
            <w:right w:w="108" w:type="dxa"/>
          </w:tblCellMar>
        </w:tblPrEx>
        <w:trPr>
          <w:trHeight w:val="308" w:hRule="atLeast"/>
          <w:jc w:val="center"/>
        </w:trPr>
        <w:tc>
          <w:tcPr>
            <w:tcW w:w="15975" w:type="dxa"/>
            <w:gridSpan w:val="9"/>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注：本表反映部门本年度一般公共预算财政拨款基本支出明细情况。</w:t>
            </w:r>
          </w:p>
        </w:tc>
      </w:tr>
    </w:tbl>
    <w:p>
      <w:pPr>
        <w:widowControl/>
        <w:jc w:val="left"/>
        <w:rPr>
          <w:rFonts w:ascii="黑体" w:hAnsi="宋体" w:eastAsia="黑体" w:cs="宋体"/>
          <w:kern w:val="0"/>
          <w:sz w:val="28"/>
          <w:szCs w:val="28"/>
        </w:rPr>
      </w:pPr>
    </w:p>
    <w:p/>
    <w:p/>
    <w:p>
      <w:pPr>
        <w:widowControl/>
        <w:jc w:val="left"/>
      </w:pPr>
      <w:r>
        <w:br w:type="page"/>
      </w:r>
    </w:p>
    <w:tbl>
      <w:tblPr>
        <w:tblStyle w:val="4"/>
        <w:tblW w:w="14038" w:type="dxa"/>
        <w:jc w:val="center"/>
        <w:tblLayout w:type="autofit"/>
        <w:tblCellMar>
          <w:top w:w="0" w:type="dxa"/>
          <w:left w:w="108" w:type="dxa"/>
          <w:bottom w:w="0" w:type="dxa"/>
          <w:right w:w="108" w:type="dxa"/>
        </w:tblCellMar>
      </w:tblPr>
      <w:tblGrid>
        <w:gridCol w:w="1134"/>
        <w:gridCol w:w="1274"/>
        <w:gridCol w:w="850"/>
        <w:gridCol w:w="1134"/>
        <w:gridCol w:w="1420"/>
        <w:gridCol w:w="1129"/>
        <w:gridCol w:w="992"/>
        <w:gridCol w:w="1420"/>
        <w:gridCol w:w="990"/>
        <w:gridCol w:w="1134"/>
        <w:gridCol w:w="1131"/>
        <w:gridCol w:w="1430"/>
      </w:tblGrid>
      <w:tr>
        <w:tblPrEx>
          <w:tblCellMar>
            <w:top w:w="0" w:type="dxa"/>
            <w:left w:w="108" w:type="dxa"/>
            <w:bottom w:w="0" w:type="dxa"/>
            <w:right w:w="108" w:type="dxa"/>
          </w:tblCellMar>
        </w:tblPrEx>
        <w:trPr>
          <w:trHeight w:val="540" w:hRule="atLeast"/>
          <w:jc w:val="center"/>
        </w:trPr>
        <w:tc>
          <w:tcPr>
            <w:tcW w:w="14038" w:type="dxa"/>
            <w:gridSpan w:val="12"/>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44"/>
                <w:szCs w:val="44"/>
              </w:rPr>
              <w:t>一般公共预算财政拨款“三公”经费支出决算表</w:t>
            </w:r>
          </w:p>
        </w:tc>
      </w:tr>
      <w:tr>
        <w:tblPrEx>
          <w:tblCellMar>
            <w:top w:w="0" w:type="dxa"/>
            <w:left w:w="108" w:type="dxa"/>
            <w:bottom w:w="0" w:type="dxa"/>
            <w:right w:w="108" w:type="dxa"/>
          </w:tblCellMar>
        </w:tblPrEx>
        <w:trPr>
          <w:trHeight w:val="255" w:hRule="atLeast"/>
          <w:jc w:val="center"/>
        </w:trPr>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27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85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2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1"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公开07表</w:t>
            </w:r>
          </w:p>
        </w:tc>
      </w:tr>
      <w:tr>
        <w:tblPrEx>
          <w:tblCellMar>
            <w:top w:w="0" w:type="dxa"/>
            <w:left w:w="108" w:type="dxa"/>
            <w:bottom w:w="0" w:type="dxa"/>
            <w:right w:w="108" w:type="dxa"/>
          </w:tblCellMar>
        </w:tblPrEx>
        <w:trPr>
          <w:trHeight w:val="255" w:hRule="atLeast"/>
          <w:jc w:val="center"/>
        </w:trPr>
        <w:tc>
          <w:tcPr>
            <w:tcW w:w="2408" w:type="dxa"/>
            <w:gridSpan w:val="2"/>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部门：尉氏县大营乡中心学校</w:t>
            </w:r>
          </w:p>
        </w:tc>
        <w:tc>
          <w:tcPr>
            <w:tcW w:w="850"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29"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2"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99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4"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131"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3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69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预算数</w:t>
            </w:r>
          </w:p>
        </w:tc>
        <w:tc>
          <w:tcPr>
            <w:tcW w:w="7097"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决算数</w:t>
            </w:r>
          </w:p>
        </w:tc>
      </w:tr>
      <w:tr>
        <w:tblPrEx>
          <w:tblCellMar>
            <w:top w:w="0" w:type="dxa"/>
            <w:left w:w="108" w:type="dxa"/>
            <w:bottom w:w="0" w:type="dxa"/>
            <w:right w:w="108" w:type="dxa"/>
          </w:tblCellMar>
        </w:tblPrEx>
        <w:trPr>
          <w:trHeight w:val="308" w:hRule="atLeast"/>
          <w:jc w:val="center"/>
        </w:trPr>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27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340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12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c>
          <w:tcPr>
            <w:tcW w:w="99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4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因公出国（境）费</w:t>
            </w:r>
          </w:p>
        </w:tc>
        <w:tc>
          <w:tcPr>
            <w:tcW w:w="3255"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公务用车购置及运行费</w:t>
            </w:r>
          </w:p>
        </w:tc>
        <w:tc>
          <w:tcPr>
            <w:tcW w:w="143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公务接待费</w:t>
            </w:r>
          </w:p>
        </w:tc>
      </w:tr>
      <w:tr>
        <w:tblPrEx>
          <w:tblCellMar>
            <w:top w:w="0" w:type="dxa"/>
            <w:left w:w="108" w:type="dxa"/>
            <w:bottom w:w="0" w:type="dxa"/>
            <w:right w:w="108" w:type="dxa"/>
          </w:tblCellMar>
        </w:tblPrEx>
        <w:trPr>
          <w:trHeight w:val="615" w:hRule="atLeast"/>
          <w:jc w:val="center"/>
        </w:trPr>
        <w:tc>
          <w:tcPr>
            <w:tcW w:w="1134"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27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12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99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2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9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公务用车购置费</w:t>
            </w:r>
          </w:p>
        </w:tc>
        <w:tc>
          <w:tcPr>
            <w:tcW w:w="11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公务用车运行费</w:t>
            </w:r>
          </w:p>
        </w:tc>
        <w:tc>
          <w:tcPr>
            <w:tcW w:w="143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1134"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27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12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7</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8</w:t>
            </w:r>
          </w:p>
        </w:tc>
        <w:tc>
          <w:tcPr>
            <w:tcW w:w="99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9</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10</w:t>
            </w:r>
          </w:p>
        </w:tc>
        <w:tc>
          <w:tcPr>
            <w:tcW w:w="11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11</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12</w:t>
            </w:r>
          </w:p>
        </w:tc>
      </w:tr>
      <w:tr>
        <w:tblPrEx>
          <w:tblCellMar>
            <w:top w:w="0" w:type="dxa"/>
            <w:left w:w="108" w:type="dxa"/>
            <w:bottom w:w="0" w:type="dxa"/>
            <w:right w:w="108" w:type="dxa"/>
          </w:tblCellMar>
        </w:tblPrEx>
        <w:trPr>
          <w:trHeight w:val="308" w:hRule="atLeast"/>
          <w:jc w:val="center"/>
        </w:trPr>
        <w:tc>
          <w:tcPr>
            <w:tcW w:w="1134"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14.50</w:t>
            </w:r>
          </w:p>
        </w:tc>
        <w:tc>
          <w:tcPr>
            <w:tcW w:w="127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85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2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14.50</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14.23</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99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4"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131"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143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14.23</w:t>
            </w:r>
          </w:p>
        </w:tc>
      </w:tr>
      <w:tr>
        <w:tblPrEx>
          <w:tblCellMar>
            <w:top w:w="0" w:type="dxa"/>
            <w:left w:w="108" w:type="dxa"/>
            <w:bottom w:w="0" w:type="dxa"/>
            <w:right w:w="108" w:type="dxa"/>
          </w:tblCellMar>
        </w:tblPrEx>
        <w:trPr>
          <w:trHeight w:val="615" w:hRule="atLeast"/>
          <w:jc w:val="center"/>
        </w:trPr>
        <w:tc>
          <w:tcPr>
            <w:tcW w:w="14038" w:type="dxa"/>
            <w:gridSpan w:val="12"/>
            <w:tcBorders>
              <w:top w:val="nil"/>
              <w:left w:val="nil"/>
              <w:bottom w:val="nil"/>
              <w:right w:val="nil"/>
            </w:tcBorders>
            <w:shd w:val="clear" w:color="auto" w:fill="auto"/>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注：本表反映部门本年度“三公”经费支出预决算情况。其中，预算数为“三公”经费年初预算数；决算数是包括当年一般公共预算财政拨款和以前年度结转资金安排的实际支出。</w:t>
            </w:r>
          </w:p>
        </w:tc>
      </w:tr>
    </w:tbl>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tbl>
      <w:tblPr>
        <w:tblStyle w:val="4"/>
        <w:tblW w:w="13666" w:type="dxa"/>
        <w:jc w:val="center"/>
        <w:tblLayout w:type="autofit"/>
        <w:tblCellMar>
          <w:top w:w="0" w:type="dxa"/>
          <w:left w:w="108" w:type="dxa"/>
          <w:bottom w:w="0" w:type="dxa"/>
          <w:right w:w="108" w:type="dxa"/>
        </w:tblCellMar>
      </w:tblPr>
      <w:tblGrid>
        <w:gridCol w:w="340"/>
        <w:gridCol w:w="340"/>
        <w:gridCol w:w="340"/>
        <w:gridCol w:w="2808"/>
        <w:gridCol w:w="1680"/>
        <w:gridCol w:w="1438"/>
        <w:gridCol w:w="1680"/>
        <w:gridCol w:w="1680"/>
        <w:gridCol w:w="1680"/>
        <w:gridCol w:w="1680"/>
      </w:tblGrid>
      <w:tr>
        <w:tblPrEx>
          <w:tblCellMar>
            <w:top w:w="0" w:type="dxa"/>
            <w:left w:w="108" w:type="dxa"/>
            <w:bottom w:w="0" w:type="dxa"/>
            <w:right w:w="108" w:type="dxa"/>
          </w:tblCellMar>
        </w:tblPrEx>
        <w:trPr>
          <w:trHeight w:val="390" w:hRule="atLeast"/>
          <w:jc w:val="center"/>
        </w:trPr>
        <w:tc>
          <w:tcPr>
            <w:tcW w:w="13666" w:type="dxa"/>
            <w:gridSpan w:val="10"/>
            <w:tcBorders>
              <w:top w:val="nil"/>
              <w:left w:val="nil"/>
              <w:bottom w:val="nil"/>
              <w:right w:val="nil"/>
            </w:tcBorders>
            <w:shd w:val="clear" w:color="auto" w:fill="auto"/>
            <w:noWrap/>
            <w:vAlign w:val="center"/>
          </w:tcPr>
          <w:p>
            <w:pPr>
              <w:widowControl/>
              <w:jc w:val="center"/>
              <w:rPr>
                <w:rFonts w:ascii="Times New Roman" w:hAnsi="Times New Roman" w:eastAsia="Times New Roman"/>
                <w:kern w:val="0"/>
                <w:sz w:val="20"/>
                <w:szCs w:val="20"/>
              </w:rPr>
            </w:pPr>
            <w:r>
              <w:rPr>
                <w:rFonts w:hint="eastAsia" w:ascii="宋体" w:hAnsi="宋体" w:cs="Arial"/>
                <w:color w:val="000000"/>
                <w:kern w:val="0"/>
                <w:sz w:val="30"/>
                <w:szCs w:val="30"/>
              </w:rPr>
              <w:t>政府性基金预算财政拨款收入支出决算表</w:t>
            </w:r>
          </w:p>
        </w:tc>
      </w:tr>
      <w:tr>
        <w:tblPrEx>
          <w:tblCellMar>
            <w:top w:w="0" w:type="dxa"/>
            <w:left w:w="108" w:type="dxa"/>
            <w:bottom w:w="0" w:type="dxa"/>
            <w:right w:w="108" w:type="dxa"/>
          </w:tblCellMar>
        </w:tblPrEx>
        <w:trPr>
          <w:trHeight w:val="255" w:hRule="atLeast"/>
          <w:jc w:val="center"/>
        </w:trPr>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280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43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公开08表</w:t>
            </w:r>
          </w:p>
        </w:tc>
      </w:tr>
      <w:tr>
        <w:tblPrEx>
          <w:tblCellMar>
            <w:top w:w="0" w:type="dxa"/>
            <w:left w:w="108" w:type="dxa"/>
            <w:bottom w:w="0" w:type="dxa"/>
            <w:right w:w="108" w:type="dxa"/>
          </w:tblCellMar>
        </w:tblPrEx>
        <w:trPr>
          <w:trHeight w:val="255" w:hRule="atLeast"/>
          <w:jc w:val="center"/>
        </w:trPr>
        <w:tc>
          <w:tcPr>
            <w:tcW w:w="3828"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部门：尉氏县大营乡中心学校</w:t>
            </w:r>
          </w:p>
        </w:tc>
        <w:tc>
          <w:tcPr>
            <w:tcW w:w="1680" w:type="dxa"/>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p>
        </w:tc>
        <w:tc>
          <w:tcPr>
            <w:tcW w:w="1438"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left"/>
              <w:rPr>
                <w:rFonts w:ascii="Times New Roman" w:hAnsi="Times New Roman" w:eastAsia="Times New Roman"/>
                <w:kern w:val="0"/>
                <w:sz w:val="20"/>
                <w:szCs w:val="20"/>
              </w:rPr>
            </w:pPr>
          </w:p>
        </w:tc>
        <w:tc>
          <w:tcPr>
            <w:tcW w:w="1680"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CellMar>
            <w:top w:w="0" w:type="dxa"/>
            <w:left w:w="108" w:type="dxa"/>
            <w:bottom w:w="0" w:type="dxa"/>
            <w:right w:w="108" w:type="dxa"/>
          </w:tblCellMar>
        </w:tblPrEx>
        <w:trPr>
          <w:trHeight w:val="308" w:hRule="atLeast"/>
          <w:jc w:val="center"/>
        </w:trPr>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年初结转和结余</w:t>
            </w:r>
          </w:p>
        </w:tc>
        <w:tc>
          <w:tcPr>
            <w:tcW w:w="143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本年收入</w:t>
            </w:r>
          </w:p>
        </w:tc>
        <w:tc>
          <w:tcPr>
            <w:tcW w:w="504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本年支出</w:t>
            </w:r>
          </w:p>
        </w:tc>
        <w:tc>
          <w:tcPr>
            <w:tcW w:w="1680"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年末结转和结余</w:t>
            </w:r>
          </w:p>
        </w:tc>
      </w:tr>
      <w:tr>
        <w:tblPrEx>
          <w:tblCellMar>
            <w:top w:w="0" w:type="dxa"/>
            <w:left w:w="108" w:type="dxa"/>
            <w:bottom w:w="0" w:type="dxa"/>
            <w:right w:w="108" w:type="dxa"/>
          </w:tblCellMar>
        </w:tblPrEx>
        <w:trPr>
          <w:trHeight w:val="312" w:hRule="atLeast"/>
          <w:jc w:val="center"/>
        </w:trPr>
        <w:tc>
          <w:tcPr>
            <w:tcW w:w="102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功能分类科目编码</w:t>
            </w:r>
          </w:p>
        </w:tc>
        <w:tc>
          <w:tcPr>
            <w:tcW w:w="2808" w:type="dxa"/>
            <w:vMerge w:val="restart"/>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科目名称</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3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小计</w:t>
            </w:r>
          </w:p>
        </w:tc>
        <w:tc>
          <w:tcPr>
            <w:tcW w:w="16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基本支出</w:t>
            </w:r>
          </w:p>
        </w:tc>
        <w:tc>
          <w:tcPr>
            <w:tcW w:w="168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rPr>
            </w:pPr>
            <w:r>
              <w:rPr>
                <w:rFonts w:hint="eastAsia" w:ascii="宋体" w:hAnsi="宋体" w:cs="Arial"/>
                <w:color w:val="000000"/>
                <w:kern w:val="0"/>
                <w:sz w:val="22"/>
              </w:rPr>
              <w:t>项目支出</w:t>
            </w: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80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3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12" w:hRule="atLeast"/>
          <w:jc w:val="center"/>
        </w:trPr>
        <w:tc>
          <w:tcPr>
            <w:tcW w:w="102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280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438"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c>
          <w:tcPr>
            <w:tcW w:w="1680" w:type="dxa"/>
            <w:vMerge w:val="continue"/>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rPr>
            </w:pPr>
          </w:p>
        </w:tc>
      </w:tr>
      <w:tr>
        <w:tblPrEx>
          <w:tblCellMar>
            <w:top w:w="0" w:type="dxa"/>
            <w:left w:w="108" w:type="dxa"/>
            <w:bottom w:w="0" w:type="dxa"/>
            <w:right w:w="108" w:type="dxa"/>
          </w:tblCellMar>
        </w:tblPrEx>
        <w:trPr>
          <w:trHeight w:val="308" w:hRule="atLeast"/>
          <w:jc w:val="center"/>
        </w:trPr>
        <w:tc>
          <w:tcPr>
            <w:tcW w:w="382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栏次</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1</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2</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3</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4</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5</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6</w:t>
            </w:r>
          </w:p>
        </w:tc>
      </w:tr>
      <w:tr>
        <w:tblPrEx>
          <w:tblCellMar>
            <w:top w:w="0" w:type="dxa"/>
            <w:left w:w="108" w:type="dxa"/>
            <w:bottom w:w="0" w:type="dxa"/>
            <w:right w:w="108" w:type="dxa"/>
          </w:tblCellMar>
        </w:tblPrEx>
        <w:trPr>
          <w:trHeight w:val="308" w:hRule="atLeast"/>
          <w:jc w:val="center"/>
        </w:trPr>
        <w:tc>
          <w:tcPr>
            <w:tcW w:w="3828"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Arial"/>
                <w:color w:val="000000"/>
                <w:kern w:val="0"/>
                <w:sz w:val="22"/>
              </w:rPr>
            </w:pPr>
            <w:r>
              <w:rPr>
                <w:rFonts w:hint="eastAsia" w:ascii="宋体" w:hAnsi="宋体" w:cs="Arial"/>
                <w:color w:val="000000"/>
                <w:kern w:val="0"/>
                <w:sz w:val="22"/>
              </w:rPr>
              <w:t>合计</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color w:val="000000"/>
                <w:kern w:val="0"/>
                <w:sz w:val="22"/>
              </w:rPr>
              <w:t>0.00</w:t>
            </w:r>
            <w:r>
              <w:rPr>
                <w:rFonts w:hint="eastAsia" w:ascii="宋体" w:hAnsi="宋体" w:cs="Arial"/>
                <w:b/>
                <w:bCs/>
                <w:color w:val="000000"/>
                <w:kern w:val="0"/>
                <w:sz w:val="22"/>
              </w:rPr>
              <w:t>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rPr>
            </w:pPr>
            <w:r>
              <w:rPr>
                <w:rFonts w:hint="eastAsia" w:ascii="宋体" w:hAnsi="宋体" w:cs="Arial"/>
                <w:color w:val="000000"/>
                <w:kern w:val="0"/>
                <w:sz w:val="22"/>
              </w:rPr>
              <w:t>0.00</w:t>
            </w:r>
            <w:r>
              <w:rPr>
                <w:rFonts w:hint="eastAsia" w:ascii="宋体" w:hAnsi="宋体" w:cs="Arial"/>
                <w:b/>
                <w:bCs/>
                <w:color w:val="000000"/>
                <w:kern w:val="0"/>
                <w:sz w:val="22"/>
              </w:rPr>
              <w:t>　</w:t>
            </w:r>
          </w:p>
        </w:tc>
      </w:tr>
      <w:tr>
        <w:tblPrEx>
          <w:tblCellMar>
            <w:top w:w="0" w:type="dxa"/>
            <w:left w:w="108" w:type="dxa"/>
            <w:bottom w:w="0" w:type="dxa"/>
            <w:right w:w="108" w:type="dxa"/>
          </w:tblCellMar>
        </w:tblPrEx>
        <w:trPr>
          <w:trHeight w:val="308" w:hRule="atLeast"/>
          <w:jc w:val="center"/>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0.00</w:t>
            </w:r>
          </w:p>
        </w:tc>
        <w:tc>
          <w:tcPr>
            <w:tcW w:w="2808"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　0.00</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　</w:t>
            </w:r>
          </w:p>
        </w:tc>
        <w:tc>
          <w:tcPr>
            <w:tcW w:w="1438"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　</w:t>
            </w:r>
          </w:p>
        </w:tc>
        <w:tc>
          <w:tcPr>
            <w:tcW w:w="168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rPr>
            </w:pPr>
            <w:r>
              <w:rPr>
                <w:rFonts w:hint="eastAsia" w:ascii="宋体" w:hAnsi="宋体" w:cs="Arial"/>
                <w:color w:val="000000"/>
                <w:kern w:val="0"/>
                <w:sz w:val="22"/>
              </w:rPr>
              <w:t>0.00　</w:t>
            </w:r>
          </w:p>
        </w:tc>
      </w:tr>
      <w:tr>
        <w:tblPrEx>
          <w:tblCellMar>
            <w:top w:w="0" w:type="dxa"/>
            <w:left w:w="108" w:type="dxa"/>
            <w:bottom w:w="0" w:type="dxa"/>
            <w:right w:w="108" w:type="dxa"/>
          </w:tblCellMar>
        </w:tblPrEx>
        <w:trPr>
          <w:trHeight w:val="308" w:hRule="atLeast"/>
          <w:jc w:val="center"/>
        </w:trPr>
        <w:tc>
          <w:tcPr>
            <w:tcW w:w="13666" w:type="dxa"/>
            <w:gridSpan w:val="10"/>
            <w:tcBorders>
              <w:top w:val="nil"/>
              <w:left w:val="nil"/>
              <w:bottom w:val="nil"/>
              <w:right w:val="nil"/>
            </w:tcBorders>
            <w:shd w:val="clear" w:color="auto" w:fill="auto"/>
            <w:noWrap/>
            <w:vAlign w:val="center"/>
          </w:tcPr>
          <w:p>
            <w:pPr>
              <w:widowControl/>
              <w:jc w:val="left"/>
              <w:rPr>
                <w:rFonts w:ascii="宋体" w:hAnsi="宋体" w:cs="Arial"/>
                <w:color w:val="000000"/>
                <w:kern w:val="0"/>
                <w:sz w:val="22"/>
              </w:rPr>
            </w:pPr>
            <w:r>
              <w:rPr>
                <w:rFonts w:hint="eastAsia" w:ascii="宋体" w:hAnsi="宋体" w:cs="Arial"/>
                <w:color w:val="000000"/>
                <w:kern w:val="0"/>
                <w:sz w:val="22"/>
              </w:rPr>
              <w:t>注：本表反映部门本年度政府性基金预算财政拨款收入、支出及结转和结余情况。</w:t>
            </w:r>
          </w:p>
        </w:tc>
      </w:tr>
    </w:tbl>
    <w:p>
      <w:pPr>
        <w:widowControl/>
        <w:spacing w:line="590" w:lineRule="exact"/>
        <w:jc w:val="left"/>
        <w:rPr>
          <w:rFonts w:hint="eastAsia" w:ascii="仿宋_GB2312" w:hAnsi="仿宋_GB2312"/>
          <w:sz w:val="32"/>
          <w:szCs w:val="32"/>
        </w:rPr>
      </w:pPr>
      <w:r>
        <w:rPr>
          <w:rFonts w:ascii="仿宋_GB2312" w:hAnsi="仿宋_GB2312"/>
          <w:sz w:val="32"/>
          <w:szCs w:val="32"/>
        </w:rPr>
        <w:t>说明：我部门没有政府性基金收入，也没有使用政府性基金安排的支出，故本表无数据。</w:t>
      </w:r>
    </w:p>
    <w:p>
      <w:pPr>
        <w:widowControl/>
        <w:ind w:firstLine="560" w:firstLineChars="200"/>
        <w:jc w:val="left"/>
        <w:rPr>
          <w:rFonts w:ascii="黑体" w:hAnsi="宋体" w:eastAsia="黑体" w:cs="宋体"/>
          <w:kern w:val="0"/>
          <w:sz w:val="28"/>
          <w:szCs w:val="28"/>
        </w:rPr>
      </w:pPr>
    </w:p>
    <w:p>
      <w:pPr>
        <w:tabs>
          <w:tab w:val="left" w:pos="519"/>
        </w:tabs>
        <w:rPr>
          <w:rFonts w:ascii="黑体" w:hAnsi="宋体" w:eastAsia="黑体" w:cs="宋体"/>
          <w:sz w:val="28"/>
          <w:szCs w:val="28"/>
        </w:rPr>
        <w:sectPr>
          <w:pgSz w:w="16838" w:h="11906" w:orient="landscape"/>
          <w:pgMar w:top="1797" w:right="1440" w:bottom="1797" w:left="1440" w:header="720" w:footer="720" w:gutter="0"/>
          <w:pgNumType w:fmt="numberInDash"/>
          <w:cols w:space="720" w:num="1"/>
          <w:docGrid w:type="lines" w:linePitch="312" w:charSpace="0"/>
        </w:sectPr>
      </w:pPr>
      <w:r>
        <w:rPr>
          <w:rFonts w:ascii="黑体" w:hAnsi="宋体" w:eastAsia="黑体" w:cs="宋体"/>
          <w:sz w:val="28"/>
          <w:szCs w:val="28"/>
        </w:rPr>
        <w:tab/>
      </w: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2020年度部门决算情况说明</w:t>
      </w:r>
    </w:p>
    <w:p>
      <w:pPr>
        <w:widowControl/>
        <w:jc w:val="left"/>
        <w:rPr>
          <w:rFonts w:ascii="黑体" w:hAnsi="黑体" w:eastAsia="黑体" w:cs="黑体"/>
          <w:sz w:val="48"/>
          <w:szCs w:val="48"/>
        </w:rPr>
        <w:sectPr>
          <w:pgSz w:w="11906" w:h="16838"/>
          <w:pgMar w:top="1440" w:right="1797" w:bottom="1440" w:left="1797" w:header="720" w:footer="720" w:gutter="0"/>
          <w:pgNumType w:fmt="numberInDash"/>
          <w:cols w:space="720" w:num="1"/>
          <w:docGrid w:type="linesAndChars" w:linePitch="312" w:charSpace="0"/>
        </w:sectPr>
      </w:pP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2020年度收支总计均为</w:t>
      </w:r>
      <w:r>
        <w:rPr>
          <w:rFonts w:ascii="仿宋_GB2312" w:hAnsi="仿宋_GB2312" w:eastAsia="仿宋_GB2312" w:cs="仿宋_GB2312"/>
          <w:sz w:val="32"/>
          <w:szCs w:val="32"/>
        </w:rPr>
        <w:t>3329.47</w:t>
      </w:r>
      <w:r>
        <w:rPr>
          <w:rFonts w:hint="eastAsia" w:ascii="仿宋_GB2312" w:hAnsi="仿宋_GB2312" w:eastAsia="仿宋_GB2312" w:cs="仿宋_GB2312"/>
          <w:sz w:val="32"/>
          <w:szCs w:val="32"/>
        </w:rPr>
        <w:t>万无。与上年度相比，收、支总计各减少</w:t>
      </w:r>
      <w:r>
        <w:rPr>
          <w:rFonts w:ascii="仿宋_GB2312" w:hAnsi="仿宋_GB2312" w:eastAsia="仿宋_GB2312" w:cs="仿宋_GB2312"/>
          <w:sz w:val="32"/>
          <w:szCs w:val="32"/>
        </w:rPr>
        <w:t>239.96</w:t>
      </w:r>
      <w:r>
        <w:rPr>
          <w:rFonts w:hint="eastAsia" w:ascii="仿宋_GB2312" w:hAnsi="仿宋_GB2312" w:eastAsia="仿宋_GB2312" w:cs="仿宋_GB2312"/>
          <w:sz w:val="32"/>
          <w:szCs w:val="32"/>
        </w:rPr>
        <w:t>万元，下降6</w:t>
      </w:r>
      <w:r>
        <w:rPr>
          <w:rFonts w:ascii="仿宋_GB2312" w:hAnsi="仿宋_GB2312" w:eastAsia="仿宋_GB2312" w:cs="仿宋_GB2312"/>
          <w:sz w:val="32"/>
          <w:szCs w:val="32"/>
        </w:rPr>
        <w:t>.72</w:t>
      </w:r>
      <w:r>
        <w:rPr>
          <w:rFonts w:hint="eastAsia" w:ascii="仿宋_GB2312" w:hAnsi="仿宋_GB2312" w:eastAsia="仿宋_GB2312" w:cs="仿宋_GB2312"/>
          <w:sz w:val="32"/>
          <w:szCs w:val="32"/>
        </w:rPr>
        <w:t xml:space="preserve"> %。主要原因是上年有补发工资。</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2020年度收入合计</w:t>
      </w:r>
      <w:r>
        <w:rPr>
          <w:rFonts w:ascii="仿宋_GB2312" w:hAnsi="仿宋_GB2312" w:eastAsia="仿宋_GB2312" w:cs="仿宋_GB2312"/>
          <w:sz w:val="32"/>
          <w:szCs w:val="32"/>
        </w:rPr>
        <w:t>3052.92</w:t>
      </w:r>
      <w:r>
        <w:rPr>
          <w:rFonts w:hint="eastAsia" w:ascii="仿宋_GB2312" w:hAnsi="仿宋_GB2312" w:eastAsia="仿宋_GB2312" w:cs="仿宋_GB2312"/>
          <w:sz w:val="32"/>
          <w:szCs w:val="32"/>
        </w:rPr>
        <w:t>万元，其中：财政拨款收入</w:t>
      </w:r>
      <w:r>
        <w:rPr>
          <w:rFonts w:ascii="仿宋_GB2312" w:hAnsi="仿宋_GB2312" w:eastAsia="仿宋_GB2312" w:cs="仿宋_GB2312"/>
          <w:sz w:val="32"/>
          <w:szCs w:val="32"/>
        </w:rPr>
        <w:t>3052.92</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 ；上级补助收入0.00万元，占0.00%；事业收入0.00万元，占0.00%；经营收入万元，占0.00%；附属单位上缴收0.00万元，占0.00%；其他收入0.00万元，占0.00%。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2020年度支出合计</w:t>
      </w:r>
      <w:r>
        <w:rPr>
          <w:rFonts w:ascii="仿宋_GB2312" w:hAnsi="仿宋_GB2312" w:eastAsia="仿宋_GB2312" w:cs="仿宋_GB2312"/>
          <w:sz w:val="32"/>
          <w:szCs w:val="32"/>
        </w:rPr>
        <w:t>3188.23</w:t>
      </w:r>
      <w:r>
        <w:rPr>
          <w:rFonts w:hint="eastAsia" w:ascii="仿宋_GB2312" w:hAnsi="仿宋_GB2312" w:eastAsia="仿宋_GB2312" w:cs="仿宋_GB2312"/>
          <w:sz w:val="32"/>
          <w:szCs w:val="32"/>
        </w:rPr>
        <w:t>万元，其中：基本支出</w:t>
      </w:r>
      <w:r>
        <w:rPr>
          <w:rFonts w:ascii="仿宋_GB2312" w:hAnsi="仿宋_GB2312" w:eastAsia="仿宋_GB2312" w:cs="仿宋_GB2312"/>
          <w:sz w:val="32"/>
          <w:szCs w:val="32"/>
        </w:rPr>
        <w:t>3188.23</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%；项目支出0.00万元，占0.00%；上缴上级支出0.00万元，占0.00%；经营支出0.00万元，占0.00%；对附属单位补助支出0.00万元，占0.00%。</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黑体" w:hAnsi="黑体" w:eastAsia="仿宋_GB2312" w:cs="黑体"/>
          <w:sz w:val="32"/>
          <w:szCs w:val="32"/>
        </w:rPr>
      </w:pPr>
      <w:r>
        <w:rPr>
          <w:rFonts w:hint="eastAsia" w:ascii="仿宋_GB2312" w:hAnsi="仿宋_GB2312" w:eastAsia="仿宋_GB2312" w:cs="仿宋_GB2312"/>
          <w:sz w:val="32"/>
          <w:szCs w:val="32"/>
        </w:rPr>
        <w:t>2020年度财政拨款收、支总计均为</w:t>
      </w:r>
      <w:r>
        <w:rPr>
          <w:rFonts w:ascii="仿宋_GB2312" w:hAnsi="仿宋_GB2312" w:eastAsia="仿宋_GB2312" w:cs="仿宋_GB2312"/>
          <w:sz w:val="32"/>
          <w:szCs w:val="32"/>
        </w:rPr>
        <w:t>3329.47</w:t>
      </w:r>
      <w:r>
        <w:rPr>
          <w:rFonts w:hint="eastAsia" w:ascii="仿宋_GB2312" w:hAnsi="仿宋_GB2312" w:eastAsia="仿宋_GB2312" w:cs="仿宋_GB2312"/>
          <w:sz w:val="32"/>
          <w:szCs w:val="32"/>
        </w:rPr>
        <w:t>万元。与上年度相比，财政拨款收、支总计各减少</w:t>
      </w:r>
      <w:r>
        <w:rPr>
          <w:rFonts w:ascii="仿宋_GB2312" w:hAnsi="仿宋_GB2312" w:eastAsia="仿宋_GB2312" w:cs="仿宋_GB2312"/>
          <w:sz w:val="32"/>
          <w:szCs w:val="32"/>
        </w:rPr>
        <w:t>239.96</w:t>
      </w:r>
      <w:r>
        <w:rPr>
          <w:rFonts w:hint="eastAsia" w:ascii="仿宋_GB2312" w:hAnsi="仿宋_GB2312" w:eastAsia="仿宋_GB2312" w:cs="仿宋_GB2312"/>
          <w:sz w:val="32"/>
          <w:szCs w:val="32"/>
        </w:rPr>
        <w:t>万元，下降</w:t>
      </w:r>
      <w:r>
        <w:rPr>
          <w:rFonts w:ascii="仿宋_GB2312" w:hAnsi="仿宋_GB2312" w:eastAsia="仿宋_GB2312" w:cs="仿宋_GB2312"/>
          <w:sz w:val="32"/>
          <w:szCs w:val="32"/>
        </w:rPr>
        <w:t>6.27</w:t>
      </w:r>
      <w:r>
        <w:rPr>
          <w:rFonts w:hint="eastAsia" w:ascii="仿宋_GB2312" w:hAnsi="仿宋_GB2312" w:eastAsia="仿宋_GB2312" w:cs="仿宋_GB2312"/>
          <w:sz w:val="32"/>
          <w:szCs w:val="32"/>
        </w:rPr>
        <w:t>%。主要原因是上年有补发工资。</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w:t>
      </w:r>
      <w:r>
        <w:rPr>
          <w:rFonts w:ascii="仿宋_GB2312" w:hAnsi="仿宋_GB2312" w:eastAsia="仿宋_GB2312" w:cs="仿宋_GB2312"/>
          <w:sz w:val="32"/>
          <w:szCs w:val="32"/>
        </w:rPr>
        <w:t>3188.23</w:t>
      </w:r>
      <w:r>
        <w:rPr>
          <w:rFonts w:hint="eastAsia" w:ascii="仿宋_GB2312" w:hAnsi="仿宋_GB2312" w:eastAsia="仿宋_GB2312" w:cs="仿宋_GB2312"/>
          <w:sz w:val="32"/>
          <w:szCs w:val="32"/>
        </w:rPr>
        <w:t>万元，占本年支出合计的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%。与上年度相比，一般公共预算财政拨款支出减少</w:t>
      </w:r>
      <w:r>
        <w:rPr>
          <w:rFonts w:ascii="仿宋_GB2312" w:hAnsi="仿宋_GB2312" w:eastAsia="仿宋_GB2312" w:cs="仿宋_GB2312"/>
          <w:sz w:val="32"/>
          <w:szCs w:val="32"/>
        </w:rPr>
        <w:t>104.65</w:t>
      </w:r>
      <w:r>
        <w:rPr>
          <w:rFonts w:hint="eastAsia" w:ascii="仿宋_GB2312" w:hAnsi="仿宋_GB2312" w:eastAsia="仿宋_GB2312" w:cs="仿宋_GB2312"/>
          <w:sz w:val="32"/>
          <w:szCs w:val="32"/>
        </w:rPr>
        <w:t>万元，下降3</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%，主要原因是上年有补发工资</w:t>
      </w:r>
    </w:p>
    <w:p>
      <w:pPr>
        <w:widowControl/>
        <w:spacing w:line="59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2020年度一般公共预算财政拨款支出 </w:t>
      </w:r>
      <w:r>
        <w:rPr>
          <w:rFonts w:ascii="仿宋_GB2312" w:hAnsi="仿宋_GB2312" w:eastAsia="仿宋_GB2312" w:cs="仿宋_GB2312"/>
          <w:sz w:val="32"/>
          <w:szCs w:val="32"/>
        </w:rPr>
        <w:t>3188.23</w:t>
      </w:r>
      <w:r>
        <w:rPr>
          <w:rFonts w:hint="eastAsia" w:ascii="仿宋_GB2312" w:hAnsi="仿宋_GB2312" w:eastAsia="仿宋_GB2312" w:cs="仿宋_GB2312"/>
          <w:sz w:val="32"/>
          <w:szCs w:val="32"/>
        </w:rPr>
        <w:t>万元，主要用于以下方面：教育支出（类）支出</w:t>
      </w:r>
      <w:r>
        <w:rPr>
          <w:rFonts w:ascii="仿宋_GB2312" w:hAnsi="仿宋_GB2312" w:eastAsia="仿宋_GB2312" w:cs="仿宋_GB2312"/>
          <w:sz w:val="32"/>
          <w:szCs w:val="32"/>
        </w:rPr>
        <w:t>2815.24</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88.30</w:t>
      </w:r>
      <w:r>
        <w:rPr>
          <w:rFonts w:hint="eastAsia" w:ascii="仿宋_GB2312" w:hAnsi="仿宋_GB2312" w:eastAsia="仿宋_GB2312" w:cs="仿宋_GB2312"/>
          <w:sz w:val="32"/>
          <w:szCs w:val="32"/>
        </w:rPr>
        <w:t>%；社会保障和就业支出（类）支出2</w:t>
      </w:r>
      <w:r>
        <w:rPr>
          <w:rFonts w:ascii="仿宋_GB2312" w:hAnsi="仿宋_GB2312" w:eastAsia="仿宋_GB2312" w:cs="仿宋_GB2312"/>
          <w:sz w:val="32"/>
          <w:szCs w:val="32"/>
        </w:rPr>
        <w:t>75.49</w:t>
      </w:r>
      <w:r>
        <w:rPr>
          <w:rFonts w:hint="eastAsia" w:ascii="仿宋_GB2312" w:hAnsi="仿宋_GB2312" w:eastAsia="仿宋_GB2312" w:cs="仿宋_GB2312"/>
          <w:sz w:val="32"/>
          <w:szCs w:val="32"/>
        </w:rPr>
        <w:t>万元，占</w:t>
      </w:r>
      <w:r>
        <w:rPr>
          <w:rFonts w:ascii="仿宋_GB2312" w:hAnsi="仿宋_GB2312" w:eastAsia="仿宋_GB2312" w:cs="仿宋_GB2312"/>
          <w:sz w:val="32"/>
          <w:szCs w:val="32"/>
        </w:rPr>
        <w:t>8.64</w:t>
      </w:r>
      <w:r>
        <w:rPr>
          <w:rFonts w:hint="eastAsia" w:ascii="仿宋_GB2312" w:hAnsi="仿宋_GB2312" w:eastAsia="仿宋_GB2312" w:cs="仿宋_GB2312"/>
          <w:sz w:val="32"/>
          <w:szCs w:val="32"/>
        </w:rPr>
        <w:t>%；卫生健康（类）支出9</w:t>
      </w:r>
      <w:r>
        <w:rPr>
          <w:rFonts w:ascii="仿宋_GB2312" w:hAnsi="仿宋_GB2312" w:eastAsia="仿宋_GB2312" w:cs="仿宋_GB2312"/>
          <w:sz w:val="32"/>
          <w:szCs w:val="32"/>
        </w:rPr>
        <w:t>7.50</w:t>
      </w:r>
      <w:r>
        <w:rPr>
          <w:rFonts w:hint="eastAsia" w:ascii="仿宋_GB2312" w:hAnsi="仿宋_GB2312" w:eastAsia="仿宋_GB2312" w:cs="仿宋_GB2312"/>
          <w:sz w:val="32"/>
          <w:szCs w:val="32"/>
        </w:rPr>
        <w:t xml:space="preserve"> 万元，占</w:t>
      </w:r>
      <w:r>
        <w:rPr>
          <w:rFonts w:ascii="仿宋_GB2312" w:hAnsi="仿宋_GB2312" w:eastAsia="仿宋_GB2312" w:cs="仿宋_GB2312"/>
          <w:sz w:val="32"/>
          <w:szCs w:val="32"/>
        </w:rPr>
        <w:t>3.06</w:t>
      </w:r>
      <w:r>
        <w:rPr>
          <w:rFonts w:hint="eastAsia" w:ascii="仿宋_GB2312" w:hAnsi="仿宋_GB2312" w:eastAsia="仿宋_GB2312" w:cs="仿宋_GB2312"/>
          <w:sz w:val="32"/>
          <w:szCs w:val="32"/>
        </w:rPr>
        <w:t>%。</w:t>
      </w:r>
    </w:p>
    <w:p>
      <w:pPr>
        <w:widowControl/>
        <w:spacing w:line="59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2020年度一般公共预算财政拨款支出年初预算为</w:t>
      </w:r>
      <w:r>
        <w:rPr>
          <w:rFonts w:ascii="仿宋_GB2312" w:hAnsi="仿宋_GB2312" w:eastAsia="仿宋_GB2312" w:cs="仿宋_GB2312"/>
          <w:sz w:val="32"/>
          <w:szCs w:val="32"/>
        </w:rPr>
        <w:t>1741.429</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3188.23</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183.08</w:t>
      </w:r>
      <w:r>
        <w:rPr>
          <w:rFonts w:hint="eastAsia" w:ascii="仿宋_GB2312" w:hAnsi="仿宋_GB2312" w:eastAsia="仿宋_GB2312" w:cs="仿宋_GB2312"/>
          <w:sz w:val="32"/>
          <w:szCs w:val="32"/>
        </w:rPr>
        <w:t>%。</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widowControl/>
        <w:spacing w:line="59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1．教育</w:t>
      </w:r>
      <w:r>
        <w:rPr>
          <w:rFonts w:hint="eastAsia" w:ascii="楷体_GB2312" w:eastAsia="楷体_GB2312"/>
          <w:b/>
          <w:sz w:val="32"/>
          <w:szCs w:val="48"/>
        </w:rPr>
        <w:t>支出</w:t>
      </w:r>
      <w:r>
        <w:rPr>
          <w:rFonts w:hint="eastAsia" w:ascii="仿宋_GB2312" w:hAnsi="仿宋_GB2312" w:eastAsia="仿宋_GB2312" w:cs="仿宋_GB2312"/>
          <w:b/>
          <w:bCs/>
          <w:sz w:val="32"/>
          <w:szCs w:val="32"/>
        </w:rPr>
        <w:t>（类）</w:t>
      </w:r>
    </w:p>
    <w:p>
      <w:pPr>
        <w:widowControl/>
        <w:spacing w:line="590" w:lineRule="exact"/>
        <w:ind w:firstLine="640" w:firstLineChars="200"/>
        <w:rPr>
          <w:rFonts w:ascii="仿宋_GB2312" w:hAnsi="仿宋_GB2312" w:eastAsia="仿宋_GB2312" w:cs="仿宋_GB2312"/>
          <w:sz w:val="32"/>
          <w:szCs w:val="32"/>
        </w:rPr>
      </w:pPr>
      <w:r>
        <w:rPr>
          <w:rFonts w:hint="eastAsia" w:ascii="楷体_GB2312" w:eastAsia="楷体_GB2312"/>
          <w:b/>
          <w:sz w:val="32"/>
          <w:szCs w:val="48"/>
        </w:rPr>
        <w:t>教育支出</w:t>
      </w:r>
      <w:r>
        <w:rPr>
          <w:rFonts w:hint="eastAsia" w:ascii="仿宋_GB2312" w:hAnsi="仿宋_GB2312" w:eastAsia="仿宋_GB2312" w:cs="仿宋_GB2312"/>
          <w:b/>
          <w:bCs/>
          <w:sz w:val="32"/>
          <w:szCs w:val="32"/>
        </w:rPr>
        <w:t>（类）普通教育（款）小学教育（项）。</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1400.8596</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2111.29</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无法计算完成比率</w:t>
      </w:r>
      <w:r>
        <w:rPr>
          <w:rFonts w:hint="eastAsia" w:ascii="仿宋_GB2312" w:hAnsi="仿宋_GB2312" w:eastAsia="仿宋_GB2312" w:cs="仿宋_GB2312"/>
          <w:sz w:val="32"/>
          <w:szCs w:val="32"/>
        </w:rPr>
        <w:t>。决算数大于年初预算数的主要原因是：年初预算汇总统计教育支出-小学教育支出（2050202）</w:t>
      </w:r>
      <w:r>
        <w:rPr>
          <w:rFonts w:ascii="仿宋_GB2312" w:hAnsi="仿宋_GB2312" w:eastAsia="仿宋_GB2312" w:cs="仿宋_GB2312"/>
          <w:sz w:val="32"/>
          <w:szCs w:val="32"/>
        </w:rPr>
        <w:t>1400.8596</w:t>
      </w:r>
      <w:r>
        <w:rPr>
          <w:rFonts w:hint="eastAsia" w:ascii="仿宋_GB2312" w:hAnsi="仿宋_GB2312" w:eastAsia="仿宋_GB2312" w:cs="仿宋_GB2312"/>
          <w:sz w:val="32"/>
          <w:szCs w:val="32"/>
        </w:rPr>
        <w:t>万元，未明细</w:t>
      </w:r>
      <w:r>
        <w:rPr>
          <w:rFonts w:hint="eastAsia" w:ascii="仿宋_GB2312" w:hAnsi="仿宋_GB2312" w:eastAsia="仿宋_GB2312" w:cs="仿宋_GB2312"/>
          <w:b/>
          <w:bCs/>
          <w:sz w:val="32"/>
          <w:szCs w:val="32"/>
        </w:rPr>
        <w:t>初中教育</w:t>
      </w:r>
      <w:r>
        <w:rPr>
          <w:rFonts w:hint="eastAsia" w:ascii="仿宋_GB2312" w:hAnsi="仿宋_GB2312" w:eastAsia="仿宋_GB2312" w:cs="仿宋_GB2312"/>
          <w:sz w:val="32"/>
          <w:szCs w:val="32"/>
        </w:rPr>
        <w:t>（205020</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）年初预算已安排未细分到款，年终再分配调整预算，还有</w:t>
      </w:r>
      <w:r>
        <w:rPr>
          <w:rFonts w:ascii="仿宋_GB2312" w:hAnsi="仿宋_GB2312" w:eastAsia="仿宋_GB2312" w:cs="仿宋_GB2312"/>
          <w:sz w:val="32"/>
          <w:szCs w:val="32"/>
        </w:rPr>
        <w:t>2020年决算数据包含城乡义务教育公用经费支出</w:t>
      </w:r>
      <w:r>
        <w:rPr>
          <w:rFonts w:hint="eastAsia" w:ascii="仿宋_GB2312" w:hAnsi="仿宋_GB2312" w:eastAsia="仿宋_GB2312" w:cs="仿宋_GB2312"/>
          <w:sz w:val="32"/>
          <w:szCs w:val="32"/>
        </w:rPr>
        <w:t>。</w:t>
      </w:r>
    </w:p>
    <w:p>
      <w:pPr>
        <w:widowControl/>
        <w:spacing w:line="590" w:lineRule="exact"/>
        <w:ind w:firstLine="640" w:firstLineChars="200"/>
        <w:rPr>
          <w:rFonts w:ascii="仿宋_GB2312" w:hAnsi="仿宋_GB2312" w:eastAsia="仿宋_GB2312" w:cs="仿宋_GB2312"/>
          <w:sz w:val="32"/>
          <w:szCs w:val="32"/>
        </w:rPr>
      </w:pPr>
      <w:r>
        <w:rPr>
          <w:rFonts w:hint="eastAsia" w:ascii="楷体_GB2312" w:eastAsia="楷体_GB2312"/>
          <w:b/>
          <w:sz w:val="32"/>
          <w:szCs w:val="48"/>
        </w:rPr>
        <w:t>教育支出</w:t>
      </w:r>
      <w:r>
        <w:rPr>
          <w:rFonts w:hint="eastAsia" w:ascii="仿宋_GB2312" w:hAnsi="仿宋_GB2312" w:eastAsia="仿宋_GB2312" w:cs="仿宋_GB2312"/>
          <w:b/>
          <w:bCs/>
          <w:sz w:val="32"/>
          <w:szCs w:val="32"/>
        </w:rPr>
        <w:t>（类）普通教育（款）初中教育（项）。</w:t>
      </w:r>
      <w:r>
        <w:rPr>
          <w:rFonts w:hint="eastAsia" w:ascii="仿宋_GB2312" w:hAnsi="仿宋_GB2312" w:eastAsia="仿宋_GB2312" w:cs="仿宋_GB2312"/>
          <w:sz w:val="32"/>
          <w:szCs w:val="32"/>
        </w:rPr>
        <w:t>年初预算为</w:t>
      </w:r>
      <w:r>
        <w:rPr>
          <w:rFonts w:hint="eastAsia" w:ascii="黑体" w:hAnsi="黑体" w:eastAsia="黑体"/>
          <w:sz w:val="32"/>
          <w:szCs w:val="32"/>
        </w:rPr>
        <w:t>0</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703.95</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无法计算完成比率</w:t>
      </w:r>
      <w:r>
        <w:rPr>
          <w:rFonts w:hint="eastAsia" w:ascii="仿宋_GB2312" w:hAnsi="仿宋_GB2312" w:eastAsia="仿宋_GB2312" w:cs="仿宋_GB2312"/>
          <w:sz w:val="32"/>
          <w:szCs w:val="32"/>
        </w:rPr>
        <w:t>。决算数大于年初预算数的主要原因是：年初预算汇总统计教育支出-小学教育支出（2050202）</w:t>
      </w:r>
      <w:r>
        <w:rPr>
          <w:rFonts w:ascii="仿宋_GB2312" w:hAnsi="仿宋_GB2312" w:eastAsia="仿宋_GB2312" w:cs="仿宋_GB2312"/>
          <w:sz w:val="32"/>
          <w:szCs w:val="32"/>
        </w:rPr>
        <w:t>1400.8596</w:t>
      </w:r>
      <w:r>
        <w:rPr>
          <w:rFonts w:hint="eastAsia" w:ascii="仿宋_GB2312" w:hAnsi="仿宋_GB2312" w:eastAsia="仿宋_GB2312" w:cs="仿宋_GB2312"/>
          <w:sz w:val="32"/>
          <w:szCs w:val="32"/>
        </w:rPr>
        <w:t>万元，未明细</w:t>
      </w:r>
      <w:r>
        <w:rPr>
          <w:rFonts w:hint="eastAsia" w:ascii="仿宋_GB2312" w:hAnsi="仿宋_GB2312" w:eastAsia="仿宋_GB2312" w:cs="仿宋_GB2312"/>
          <w:b/>
          <w:bCs/>
          <w:sz w:val="32"/>
          <w:szCs w:val="32"/>
        </w:rPr>
        <w:t>初中教育</w:t>
      </w:r>
      <w:r>
        <w:rPr>
          <w:rFonts w:hint="eastAsia" w:ascii="仿宋_GB2312" w:hAnsi="仿宋_GB2312" w:eastAsia="仿宋_GB2312" w:cs="仿宋_GB2312"/>
          <w:sz w:val="32"/>
          <w:szCs w:val="32"/>
        </w:rPr>
        <w:t>（205020</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）年初预算已安排未细分到款，年终再分配调整预算，还有</w:t>
      </w:r>
      <w:r>
        <w:rPr>
          <w:rFonts w:ascii="仿宋_GB2312" w:hAnsi="仿宋_GB2312" w:eastAsia="仿宋_GB2312" w:cs="仿宋_GB2312"/>
          <w:sz w:val="32"/>
          <w:szCs w:val="32"/>
        </w:rPr>
        <w:t>2020年决算数据包含城乡义务教育公用经费支出</w:t>
      </w:r>
      <w:r>
        <w:rPr>
          <w:rFonts w:hint="eastAsia" w:ascii="仿宋_GB2312" w:hAnsi="仿宋_GB2312" w:eastAsia="仿宋_GB2312" w:cs="仿宋_GB2312"/>
          <w:sz w:val="32"/>
          <w:szCs w:val="32"/>
        </w:rPr>
        <w:t>。</w:t>
      </w:r>
    </w:p>
    <w:p>
      <w:pPr>
        <w:widowControl/>
        <w:spacing w:line="59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楷体_GB2312" w:eastAsia="楷体_GB2312"/>
          <w:b/>
          <w:sz w:val="32"/>
          <w:szCs w:val="48"/>
        </w:rPr>
        <w:t>社会保障支出和就业支出</w:t>
      </w:r>
      <w:r>
        <w:rPr>
          <w:rFonts w:hint="eastAsia" w:ascii="仿宋_GB2312" w:hAnsi="仿宋_GB2312" w:eastAsia="仿宋_GB2312" w:cs="仿宋_GB2312"/>
          <w:b/>
          <w:bCs/>
          <w:sz w:val="32"/>
          <w:szCs w:val="32"/>
        </w:rPr>
        <w:t>（类）</w:t>
      </w:r>
    </w:p>
    <w:p>
      <w:pPr>
        <w:widowControl/>
        <w:spacing w:line="590" w:lineRule="exact"/>
        <w:ind w:firstLine="640" w:firstLineChars="200"/>
        <w:rPr>
          <w:rFonts w:ascii="仿宋_GB2312" w:hAnsi="仿宋_GB2312" w:eastAsia="仿宋_GB2312" w:cs="仿宋_GB2312"/>
          <w:sz w:val="32"/>
          <w:szCs w:val="32"/>
        </w:rPr>
      </w:pPr>
      <w:r>
        <w:rPr>
          <w:rFonts w:hint="eastAsia" w:ascii="楷体_GB2312" w:eastAsia="楷体_GB2312"/>
          <w:b/>
          <w:sz w:val="32"/>
          <w:szCs w:val="48"/>
        </w:rPr>
        <w:t>社会保障和就业支出(类)行政事业单位养老支出(款)事业单位离退休(项)</w:t>
      </w:r>
      <w:r>
        <w:rPr>
          <w:rFonts w:hint="eastAsia" w:ascii="仿宋_GB2312" w:hAnsi="仿宋_GB2312" w:eastAsia="仿宋_GB2312" w:cs="仿宋_GB2312"/>
          <w:sz w:val="32"/>
          <w:szCs w:val="32"/>
        </w:rPr>
        <w:t>。</w:t>
      </w:r>
      <w:r>
        <w:rPr>
          <w:rFonts w:ascii="楷体_GB2312" w:eastAsia="楷体_GB2312"/>
          <w:sz w:val="32"/>
          <w:szCs w:val="48"/>
        </w:rPr>
        <w:t>年初预算为11.4421万元，</w:t>
      </w:r>
      <w:r>
        <w:rPr>
          <w:rFonts w:ascii="仿宋_GB2312" w:hAnsi="仿宋_GB2312" w:eastAsia="仿宋_GB2312" w:cs="仿宋_GB2312"/>
          <w:sz w:val="32"/>
          <w:szCs w:val="32"/>
        </w:rPr>
        <w:t>支出决算为94.62万元，完成年初预算的826.95%。决算数大于预算数的主要原因是：</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员结构变化，增加抚恤金等</w:t>
      </w:r>
      <w:r>
        <w:rPr>
          <w:rFonts w:hint="eastAsia" w:ascii="仿宋_GB2312" w:hAnsi="仿宋_GB2312" w:eastAsia="仿宋_GB2312" w:cs="仿宋_GB2312"/>
          <w:sz w:val="32"/>
          <w:szCs w:val="32"/>
        </w:rPr>
        <w:t>。</w:t>
      </w:r>
    </w:p>
    <w:p>
      <w:pPr>
        <w:widowControl/>
        <w:spacing w:line="590" w:lineRule="exact"/>
        <w:ind w:firstLine="640" w:firstLineChars="200"/>
        <w:rPr>
          <w:rFonts w:ascii="仿宋_GB2312" w:hAnsi="仿宋_GB2312" w:eastAsia="仿宋_GB2312" w:cs="仿宋_GB2312"/>
          <w:sz w:val="32"/>
          <w:szCs w:val="32"/>
        </w:rPr>
      </w:pPr>
      <w:r>
        <w:rPr>
          <w:rFonts w:hint="eastAsia" w:ascii="楷体_GB2312" w:eastAsia="楷体_GB2312"/>
          <w:b/>
          <w:sz w:val="32"/>
          <w:szCs w:val="48"/>
        </w:rPr>
        <w:t>社会保障支出和就业支出</w:t>
      </w:r>
      <w:r>
        <w:rPr>
          <w:rFonts w:hint="eastAsia" w:ascii="仿宋_GB2312" w:hAnsi="仿宋_GB2312" w:eastAsia="仿宋_GB2312" w:cs="仿宋_GB2312"/>
          <w:b/>
          <w:bCs/>
          <w:sz w:val="32"/>
          <w:szCs w:val="32"/>
        </w:rPr>
        <w:t>（类）其他社会保障和就业支出（款）  其他社会保障和就业支出（项）。</w:t>
      </w:r>
      <w:r>
        <w:rPr>
          <w:rFonts w:hint="eastAsia" w:ascii="仿宋_GB2312" w:hAnsi="仿宋_GB2312" w:eastAsia="仿宋_GB2312" w:cs="仿宋_GB2312"/>
          <w:sz w:val="32"/>
          <w:szCs w:val="32"/>
        </w:rPr>
        <w:t xml:space="preserve">年初预算为 </w:t>
      </w:r>
      <w:r>
        <w:rPr>
          <w:rFonts w:ascii="仿宋_GB2312" w:hAnsi="仿宋_GB2312" w:eastAsia="仿宋_GB2312" w:cs="仿宋_GB2312"/>
          <w:sz w:val="32"/>
          <w:szCs w:val="32"/>
        </w:rPr>
        <w:t>244.7252</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180.87</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107.54</w:t>
      </w:r>
      <w:r>
        <w:rPr>
          <w:rFonts w:hint="eastAsia" w:ascii="仿宋_GB2312" w:hAnsi="仿宋_GB2312" w:eastAsia="仿宋_GB2312" w:cs="仿宋_GB2312"/>
          <w:sz w:val="32"/>
          <w:szCs w:val="32"/>
        </w:rPr>
        <w:t>%。有。决算数大于年初预算数的主要原因是：教师结构比例变化，社保费基数变化，年终数据有调整。</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rPr>
        <w:t xml:space="preserve"> </w:t>
      </w:r>
      <w:r>
        <w:rPr>
          <w:rFonts w:hint="eastAsia" w:ascii="楷体" w:hAnsi="楷体" w:eastAsia="楷体" w:cs="楷体_GB2312"/>
          <w:b/>
          <w:bCs/>
          <w:sz w:val="32"/>
          <w:szCs w:val="48"/>
        </w:rPr>
        <w:t>卫生健康支出</w:t>
      </w:r>
      <w:r>
        <w:rPr>
          <w:rFonts w:hint="eastAsia" w:ascii="楷体" w:hAnsi="楷体" w:eastAsia="楷体" w:cs="仿宋_GB2312"/>
          <w:b/>
          <w:bCs/>
          <w:sz w:val="32"/>
          <w:szCs w:val="32"/>
        </w:rPr>
        <w:t>（类）</w:t>
      </w:r>
      <w:r>
        <w:rPr>
          <w:rFonts w:hint="eastAsia" w:ascii="楷体" w:hAnsi="楷体" w:eastAsia="楷体" w:cs="仿宋_GB2312"/>
          <w:b/>
          <w:bCs/>
          <w:sz w:val="32"/>
          <w:szCs w:val="48"/>
        </w:rPr>
        <w:t>行政事业单位医疗支出</w:t>
      </w:r>
      <w:r>
        <w:rPr>
          <w:rFonts w:hint="eastAsia" w:ascii="楷体" w:hAnsi="楷体" w:eastAsia="楷体" w:cs="仿宋_GB2312"/>
          <w:b/>
          <w:bCs/>
          <w:sz w:val="32"/>
          <w:szCs w:val="32"/>
        </w:rPr>
        <w:t>（款）</w:t>
      </w:r>
      <w:r>
        <w:rPr>
          <w:rFonts w:hint="eastAsia" w:ascii="楷体" w:hAnsi="楷体" w:eastAsia="楷体" w:cs="仿宋_GB2312"/>
          <w:b/>
          <w:bCs/>
          <w:sz w:val="32"/>
          <w:szCs w:val="48"/>
        </w:rPr>
        <w:t>事业单位医疗</w:t>
      </w:r>
      <w:r>
        <w:rPr>
          <w:rFonts w:hint="eastAsia" w:ascii="楷体" w:hAnsi="楷体" w:eastAsia="楷体" w:cs="仿宋_GB2312"/>
          <w:b/>
          <w:bCs/>
          <w:sz w:val="32"/>
          <w:szCs w:val="32"/>
        </w:rPr>
        <w:t>（项）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年初预算为</w:t>
      </w:r>
      <w:r>
        <w:rPr>
          <w:rFonts w:ascii="仿宋_GB2312" w:hAnsi="仿宋_GB2312" w:eastAsia="仿宋_GB2312" w:cs="仿宋_GB2312"/>
          <w:sz w:val="32"/>
          <w:szCs w:val="32"/>
        </w:rPr>
        <w:t>84.4021</w:t>
      </w:r>
      <w:r>
        <w:rPr>
          <w:rFonts w:hint="eastAsia" w:ascii="仿宋_GB2312" w:hAnsi="仿宋_GB2312" w:eastAsia="仿宋_GB2312" w:cs="仿宋_GB2312"/>
          <w:sz w:val="32"/>
          <w:szCs w:val="32"/>
        </w:rPr>
        <w:t>万元，支出决算为</w:t>
      </w:r>
      <w:r>
        <w:rPr>
          <w:rFonts w:ascii="仿宋_GB2312" w:hAnsi="仿宋_GB2312" w:eastAsia="仿宋_GB2312" w:cs="仿宋_GB2312"/>
          <w:sz w:val="32"/>
          <w:szCs w:val="32"/>
        </w:rPr>
        <w:t>97.50</w:t>
      </w:r>
      <w:r>
        <w:rPr>
          <w:rFonts w:hint="eastAsia" w:ascii="仿宋_GB2312" w:hAnsi="仿宋_GB2312" w:eastAsia="仿宋_GB2312" w:cs="仿宋_GB2312"/>
          <w:sz w:val="32"/>
          <w:szCs w:val="32"/>
        </w:rPr>
        <w:t>万元，完成年初预算的</w:t>
      </w:r>
      <w:r>
        <w:rPr>
          <w:rFonts w:ascii="仿宋_GB2312" w:hAnsi="仿宋_GB2312" w:eastAsia="仿宋_GB2312" w:cs="仿宋_GB2312"/>
          <w:sz w:val="32"/>
          <w:szCs w:val="32"/>
        </w:rPr>
        <w:t>115.52</w:t>
      </w:r>
      <w:r>
        <w:rPr>
          <w:rFonts w:hint="eastAsia" w:ascii="仿宋_GB2312" w:hAnsi="仿宋_GB2312" w:eastAsia="仿宋_GB2312" w:cs="仿宋_GB2312"/>
          <w:sz w:val="32"/>
          <w:szCs w:val="32"/>
        </w:rPr>
        <w:t>%。决算数大于年初预算数的主要原因是：教师结构比例变化，社保费基数变化，年终数据有调整。</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2020年度一般公共预算财政拨款基本支出</w:t>
      </w:r>
      <w:r>
        <w:rPr>
          <w:rFonts w:ascii="仿宋_GB2312" w:hAnsi="仿宋_GB2312" w:eastAsia="仿宋_GB2312" w:cs="仿宋_GB2312"/>
          <w:sz w:val="32"/>
          <w:szCs w:val="32"/>
        </w:rPr>
        <w:t>3188.23</w:t>
      </w:r>
      <w:r>
        <w:rPr>
          <w:rFonts w:hint="eastAsia" w:ascii="仿宋_GB2312" w:hAnsi="仿宋_GB2312" w:eastAsia="仿宋_GB2312" w:cs="仿宋_GB2312"/>
          <w:sz w:val="32"/>
          <w:szCs w:val="32"/>
        </w:rPr>
        <w:t>万元。其中：人员经费</w:t>
      </w:r>
      <w:r>
        <w:rPr>
          <w:rFonts w:ascii="仿宋_GB2312" w:hAnsi="仿宋_GB2312" w:eastAsia="仿宋_GB2312" w:cs="仿宋_GB2312"/>
          <w:sz w:val="32"/>
          <w:szCs w:val="32"/>
        </w:rPr>
        <w:t>2695.68</w:t>
      </w:r>
      <w:r>
        <w:rPr>
          <w:rFonts w:hint="eastAsia" w:ascii="仿宋_GB2312" w:hAns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_GB2312" w:hAnsi="仿宋_GB2312" w:eastAsia="仿宋_GB2312" w:cs="仿宋_GB2312"/>
          <w:sz w:val="32"/>
          <w:szCs w:val="32"/>
        </w:rPr>
        <w:t>492.54</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0"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2020年度“三公”经费财政拨款支出预算为</w:t>
      </w:r>
      <w:r>
        <w:rPr>
          <w:rFonts w:ascii="仿宋_GB2312" w:hAnsi="仿宋_GB2312" w:eastAsia="仿宋_GB2312" w:cs="仿宋_GB2312"/>
          <w:sz w:val="32"/>
          <w:szCs w:val="32"/>
        </w:rPr>
        <w:t>14.5</w:t>
      </w:r>
      <w:r>
        <w:rPr>
          <w:rFonts w:hint="eastAsia" w:ascii="仿宋_GB2312" w:hAnsi="仿宋_GB2312" w:eastAsia="仿宋_GB2312" w:cs="仿宋_GB2312"/>
          <w:sz w:val="32"/>
          <w:szCs w:val="32"/>
        </w:rPr>
        <w:t>万元，支出决算为1</w:t>
      </w:r>
      <w:r>
        <w:rPr>
          <w:rFonts w:ascii="仿宋_GB2312" w:hAnsi="仿宋_GB2312" w:eastAsia="仿宋_GB2312" w:cs="仿宋_GB2312"/>
          <w:sz w:val="32"/>
          <w:szCs w:val="32"/>
        </w:rPr>
        <w:t>4.23</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98.14</w:t>
      </w:r>
      <w:r>
        <w:rPr>
          <w:rFonts w:hint="eastAsia" w:ascii="仿宋_GB2312" w:hAnsi="仿宋_GB2312" w:eastAsia="仿宋_GB2312" w:cs="仿宋_GB2312"/>
          <w:sz w:val="32"/>
          <w:szCs w:val="32"/>
        </w:rPr>
        <w:t>%。决算数小于预算数的主要原因是：接待次数减少。</w:t>
      </w:r>
    </w:p>
    <w:p>
      <w:pPr>
        <w:widowControl/>
        <w:spacing w:line="590" w:lineRule="exact"/>
        <w:ind w:firstLine="640" w:firstLineChars="200"/>
        <w:outlineLvl w:val="2"/>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2020年度“三公”经费财政拨款支出决算中，因公出国（境）费支出决算0.00万元，完成预算的0.00%，占0.00%；公务用车购置及运行费支出决算0.00万元，完成预算的0.00%，占0.00%；公务接待费支出决算</w:t>
      </w:r>
      <w:r>
        <w:rPr>
          <w:rFonts w:ascii="仿宋_GB2312" w:hAnsi="仿宋_GB2312" w:eastAsia="仿宋_GB2312" w:cs="仿宋_GB2312"/>
          <w:sz w:val="32"/>
          <w:szCs w:val="32"/>
        </w:rPr>
        <w:t>14.23</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98.14</w:t>
      </w:r>
      <w:r>
        <w:rPr>
          <w:rFonts w:hint="eastAsia" w:ascii="仿宋_GB2312" w:hAnsi="仿宋_GB2312" w:eastAsia="仿宋_GB2312" w:cs="仿宋_GB2312"/>
          <w:sz w:val="32"/>
          <w:szCs w:val="32"/>
        </w:rPr>
        <w:t>%，占</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%。具体情况如下：</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预算为0.00万元，支出决算为0.00万元。全年因公出国（境）团组0个，累计0人次。无开支内容。</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预算为0.00万元，支出决算为0.00万元。其中：</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为0.00万元，购置车辆0辆，其中0车0辆。</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0.00万元。2020年期末，部门开支财政拨款的公务用车保有量为0辆。</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ascii="仿宋_GB2312" w:hAnsi="仿宋_GB2312" w:eastAsia="仿宋_GB2312" w:cs="仿宋_GB2312"/>
          <w:sz w:val="32"/>
          <w:szCs w:val="32"/>
        </w:rPr>
        <w:t>14.5</w:t>
      </w:r>
      <w:r>
        <w:rPr>
          <w:rFonts w:hint="eastAsia" w:ascii="仿宋_GB2312" w:hAnsi="仿宋_GB2312" w:eastAsia="仿宋_GB2312" w:cs="仿宋_GB2312"/>
          <w:sz w:val="32"/>
          <w:szCs w:val="32"/>
        </w:rPr>
        <w:t>万元，支出决算为1</w:t>
      </w:r>
      <w:r>
        <w:rPr>
          <w:rFonts w:ascii="仿宋_GB2312" w:hAnsi="仿宋_GB2312" w:eastAsia="仿宋_GB2312" w:cs="仿宋_GB2312"/>
          <w:sz w:val="32"/>
          <w:szCs w:val="32"/>
        </w:rPr>
        <w:t>4.23</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98.14</w:t>
      </w:r>
      <w:r>
        <w:rPr>
          <w:rFonts w:hint="eastAsia" w:ascii="仿宋_GB2312" w:hAnsi="仿宋_GB2312" w:eastAsia="仿宋_GB2312" w:cs="仿宋_GB2312"/>
          <w:sz w:val="32"/>
          <w:szCs w:val="32"/>
        </w:rPr>
        <w:t>%。决算数小于预算数的主要原因是：接待次数减少。</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0.00万元。2020年共接待国（境）外来访团组0个、来访外宾0人次（不包括陪同人员）。我单位没有外宾接待任务，没有安排接待经费。</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ascii="仿宋_GB2312" w:hAnsi="仿宋_GB2312" w:eastAsia="仿宋_GB2312" w:cs="仿宋_GB2312"/>
          <w:sz w:val="32"/>
          <w:szCs w:val="32"/>
        </w:rPr>
        <w:t>14.23</w:t>
      </w:r>
      <w:r>
        <w:rPr>
          <w:rFonts w:hint="eastAsia" w:ascii="仿宋_GB2312" w:hAnsi="仿宋_GB2312" w:eastAsia="仿宋_GB2312" w:cs="仿宋_GB2312"/>
          <w:sz w:val="32"/>
          <w:szCs w:val="32"/>
        </w:rPr>
        <w:t>万元。</w:t>
      </w:r>
      <w:r>
        <w:rPr>
          <w:rFonts w:ascii="仿宋_GB2312" w:hAnsi="仿宋_GB2312" w:eastAsia="仿宋"/>
          <w:color w:val="000000"/>
          <w:sz w:val="32"/>
          <w:szCs w:val="32"/>
        </w:rPr>
        <w:t>主要是跨区域交流发生的接待支出。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0" w:firstLineChars="200"/>
        <w:outlineLvl w:val="2"/>
        <w:rPr>
          <w:rFonts w:ascii="仿宋" w:hAnsi="仿宋" w:eastAsia="仿宋" w:cs="仿宋"/>
          <w:b/>
          <w:bCs/>
          <w:sz w:val="32"/>
          <w:szCs w:val="32"/>
        </w:rPr>
      </w:pPr>
      <w:r>
        <w:rPr>
          <w:rFonts w:hint="eastAsia" w:ascii="仿宋" w:hAnsi="仿宋" w:eastAsia="仿宋" w:cs="仿宋"/>
          <w:b/>
          <w:bCs/>
          <w:sz w:val="32"/>
          <w:szCs w:val="32"/>
        </w:rPr>
        <w:t>（一）绩效管理工作开展情况。</w:t>
      </w:r>
    </w:p>
    <w:p>
      <w:pPr>
        <w:widowControl/>
        <w:spacing w:line="59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1、根据财政部统一要求2019对0个项目开展项目自评； 2020年对0个项目开展了绩效监控。</w:t>
      </w:r>
    </w:p>
    <w:p>
      <w:pPr>
        <w:widowControl/>
        <w:spacing w:line="590" w:lineRule="exact"/>
        <w:ind w:firstLine="640" w:firstLineChars="200"/>
        <w:outlineLvl w:val="2"/>
        <w:rPr>
          <w:rFonts w:ascii="仿宋" w:hAnsi="仿宋" w:eastAsia="仿宋" w:cs="仿宋"/>
          <w:sz w:val="32"/>
          <w:szCs w:val="32"/>
        </w:rPr>
      </w:pPr>
      <w:r>
        <w:rPr>
          <w:rFonts w:hint="eastAsia" w:ascii="仿宋" w:hAnsi="仿宋" w:eastAsia="仿宋" w:cs="仿宋"/>
          <w:sz w:val="32"/>
          <w:szCs w:val="32"/>
        </w:rPr>
        <w:t>2、2020年度，编报下一年度预算时，在预算管理一体化系统中，针对所有的项目支出填报了绩效目标。</w:t>
      </w:r>
    </w:p>
    <w:p>
      <w:pPr>
        <w:widowControl/>
        <w:numPr>
          <w:ilvl w:val="0"/>
          <w:numId w:val="3"/>
        </w:numPr>
        <w:spacing w:line="590" w:lineRule="exact"/>
        <w:ind w:firstLine="640"/>
        <w:outlineLvl w:val="2"/>
        <w:rPr>
          <w:rFonts w:ascii="仿宋" w:hAnsi="仿宋" w:eastAsia="仿宋" w:cs="仿宋"/>
          <w:b/>
          <w:bCs/>
          <w:sz w:val="32"/>
          <w:szCs w:val="32"/>
        </w:rPr>
      </w:pPr>
      <w:r>
        <w:rPr>
          <w:rFonts w:hint="eastAsia" w:ascii="仿宋" w:hAnsi="仿宋" w:eastAsia="仿宋" w:cs="仿宋"/>
          <w:b/>
          <w:bCs/>
          <w:sz w:val="32"/>
          <w:szCs w:val="32"/>
        </w:rPr>
        <w:t>项目绩效自评结果。</w:t>
      </w:r>
    </w:p>
    <w:p>
      <w:pPr>
        <w:widowControl/>
        <w:spacing w:line="590" w:lineRule="exact"/>
        <w:ind w:firstLine="1280" w:firstLineChars="400"/>
        <w:outlineLvl w:val="2"/>
        <w:rPr>
          <w:rFonts w:ascii="仿宋" w:hAnsi="仿宋" w:eastAsia="仿宋" w:cs="仿宋"/>
          <w:sz w:val="32"/>
          <w:szCs w:val="32"/>
        </w:rPr>
      </w:pPr>
      <w:r>
        <w:rPr>
          <w:rFonts w:hint="eastAsia" w:ascii="仿宋" w:hAnsi="仿宋" w:eastAsia="仿宋" w:cs="仿宋"/>
          <w:sz w:val="32"/>
          <w:szCs w:val="32"/>
        </w:rPr>
        <w:t>我单位无项目绩效自评结果。</w:t>
      </w:r>
    </w:p>
    <w:p>
      <w:pPr>
        <w:widowControl/>
        <w:numPr>
          <w:ilvl w:val="0"/>
          <w:numId w:val="3"/>
        </w:numPr>
        <w:spacing w:line="590" w:lineRule="exact"/>
        <w:ind w:firstLine="640"/>
        <w:outlineLvl w:val="2"/>
        <w:rPr>
          <w:rFonts w:ascii="仿宋" w:hAnsi="仿宋" w:eastAsia="仿宋" w:cs="仿宋"/>
          <w:b/>
          <w:bCs/>
          <w:sz w:val="32"/>
          <w:szCs w:val="32"/>
        </w:rPr>
      </w:pPr>
      <w:r>
        <w:rPr>
          <w:rFonts w:hint="eastAsia" w:ascii="仿宋" w:hAnsi="仿宋" w:eastAsia="仿宋" w:cs="仿宋"/>
          <w:b/>
          <w:bCs/>
          <w:sz w:val="32"/>
          <w:szCs w:val="32"/>
        </w:rPr>
        <w:t>以单位为主体开展的重点绩效评价结果。</w:t>
      </w:r>
    </w:p>
    <w:p>
      <w:pPr>
        <w:widowControl/>
        <w:spacing w:line="590" w:lineRule="exact"/>
        <w:ind w:firstLine="1280" w:firstLineChars="400"/>
        <w:outlineLvl w:val="1"/>
        <w:rPr>
          <w:rFonts w:ascii="仿宋" w:hAnsi="仿宋" w:eastAsia="仿宋" w:cs="仿宋"/>
          <w:sz w:val="32"/>
          <w:szCs w:val="32"/>
        </w:rPr>
      </w:pPr>
      <w:r>
        <w:rPr>
          <w:rFonts w:hint="eastAsia" w:ascii="仿宋" w:hAnsi="仿宋" w:eastAsia="仿宋" w:cs="仿宋"/>
          <w:sz w:val="32"/>
          <w:szCs w:val="32"/>
        </w:rPr>
        <w:t xml:space="preserve">我单位无重点绩效评价结果。 </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2020年度政府性基金预算财政拨款支出年初预算为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万元，支出决算为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w:t>
      </w:r>
      <w:r>
        <w:rPr>
          <w:rFonts w:hint="eastAsia" w:ascii="仿宋" w:hAnsi="仿宋" w:eastAsia="仿宋" w:cs="仿宋"/>
          <w:sz w:val="32"/>
          <w:szCs w:val="36"/>
        </w:rPr>
        <w:t>我部门2020年度没有政府性基金收入，也没有使用政府性基金安排的支出</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我单位不是行政机关，也不是参照公务员管理事业单位，没有机关运行经费支出。</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2020年度政府采购支出总额0.00万元，其中：政府采购货物支出 0.00万元、政府采购工程支出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万元。授予中小企业合同金额 0.00 万元，占政府采购支出总额的</w:t>
      </w:r>
      <w:r>
        <w:rPr>
          <w:rFonts w:hint="eastAsia" w:ascii="仿宋_GB2312" w:eastAsia="仿宋_GB2312"/>
          <w:sz w:val="32"/>
          <w:szCs w:val="32"/>
        </w:rPr>
        <w:t>0.00</w:t>
      </w:r>
      <w:r>
        <w:rPr>
          <w:rFonts w:hint="eastAsia" w:ascii="仿宋_GB2312" w:hAnsi="仿宋_GB2312" w:eastAsia="仿宋_GB2312" w:cs="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AndChars" w:linePitch="312" w:charSpace="0"/>
        </w:sect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jc w:val="center"/>
        <w:rPr>
          <w:rFonts w:ascii="黑体" w:hAnsi="黑体" w:eastAsia="黑体" w:cs="黑体"/>
          <w:sz w:val="48"/>
          <w:szCs w:val="48"/>
        </w:rPr>
      </w:pPr>
    </w:p>
    <w:p>
      <w:pPr>
        <w:jc w:val="cente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AndChar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sectPr>
      <w:pgSz w:w="11906" w:h="16838"/>
      <w:pgMar w:top="1928" w:right="1474" w:bottom="1701"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495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950" cy="27876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- 18 -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18.5pt;mso-position-horizontal:center;mso-position-horizontal-relative:margin;mso-wrap-style:none;z-index:251660288;mso-width-relative:page;mso-height-relative:page;" filled="f" stroked="f" coordsize="21600,21600" o:gfxdata="UEsDBAoAAAAAAIdO4kAAAAAAAAAAAAAAAAAEAAAAZHJzL1BLAwQUAAAACACHTuJAawmyJdEAAAAD&#10;AQAADwAAAGRycy9kb3ducmV2LnhtbE2PwU7DMBBE70j8g7VI3KjTFtES4vRQqRduLagSNzfexhH2&#10;OrLdNPn7LlzgMtJoVjNvq83onRgwpi6QgvmsAIHUBNNRq+DzY/e0BpGyJqNdIFQwYYJNfX9X6dKE&#10;K+1xOORWcAmlUiuwOfellKmx6HWahR6Js3OIXme2sZUm6iuXeycXRfEive6IF6zucWux+T5cvILV&#10;eAzYJ9zi13loou2mtXuflHp8mBdvIDKO+e8YfvAZHWpmOoULmSScAn4k/ypnyxW7k4Ln5SvIupL/&#10;2esbUEsDBBQAAAAIAIdO4kB+hX1wxwEAAIsDAAAOAAAAZHJzL2Uyb0RvYy54bWytU0uOEzEQ3SNx&#10;B8t74kwyP1rpjBhFg5AQIM3MARy3nbbkn1xOunMBuAErNuw5V85B2d3JwLCZBRt3uar6Vb1X5cVN&#10;bw3ZyQjau5qeTaaUSCd8o92mpo8Pd2+uKYHEXcONd7Kmewn0Zvn61aILlZz51ptGRoIgDqou1LRN&#10;KVSMgWil5TDxQToMKh8tT3iNG9ZE3iG6NWw2nV6yzscmRC8kAHpXQ5COiPElgF4pLeTKi62VLg2o&#10;URqekBK0OgBdlm6VkiJ9VgpkIqamyDSVE4ugvc4nWy54tYk8tFqMLfCXtPCMk+XaYdET1IonTrZR&#10;/wNltYgevEoT4S0biBRFkMXZ9Jk29y0PsnBBqSGcRIf/Bys+7b5Eopuazilx3OLAD9+/HX78Ovz8&#10;SuZZni5AhVn3AfNSf+t7XJqjH9CZWfcq2vxFPgTjKO7+JK7sExHonM3P315gRGBodnV9dXmRUdjT&#10;zyFCei+9JdmoacTZFUn57iOkIfWYkms5f6eNKfMz7i8HYmYPy50PHWYr9et+pLP2zR7ZdDj2mjrc&#10;ckrMB4eq5g05GvForEcj14DwbpuwcOknow5QYzGcUWE07lNegj/vJevpDS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sJsiXRAAAAAwEAAA8AAAAAAAAAAQAgAAAAIgAAAGRycy9kb3ducmV2Lnht&#10;bFBLAQIUABQAAAAIAIdO4kB+hX1wxwEAAIsDAAAOAAAAAAAAAAEAIAAAACA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- 18 -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CFZYvFxgEAAIsDAAAOAAAAZHJzL2Uyb0RvYy54bWytU0uOEzEQ3SNx&#10;B8t74qRhImilMwJFg5AQIA0cwHHbaUv+yeWkOxeAG7Biw55z5RyU3Z3Mh80s2LjLVeVX9V5Vr64H&#10;a8hBRtDeNXQxm1MinfCtdruGfvt68+I1JZC4a7nxTjb0KIFer58/W/WhlpXvvGllJAjioO5DQ7uU&#10;Qs0YiE5aDjMfpMOg8tHyhNe4Y23kPaJbw6r5fMl6H9sQvZAA6N2MQTohxqcAeqW0kBsv9la6NKJG&#10;aXhCStDpAHRdulVKivRZKZCJmIYi01ROLIL2Np9sveL1LvLQaTG1wJ/SwiNOlmuHRS9QG5442Uf9&#10;D5TVInrwKs2Et2wkUhRBFov5I21uOx5k4YJSQ7iIDv8PVnw6fIlEtw2tKHHc4sBPP3+cfv05/f5O&#10;qixPH6DGrNuAeWl45wdcmrMf0JlZDyra/EU+BOMo7vEirhwSEfnR4tWbl1eUCAwtltXVsojP7h6H&#10;COm99JZko6ERZ1ck5YePkLARTD2n5FrO32hjyvyMe+DAxOxhufOxw2ylYTtMdLa+PSKbHsfeUIdb&#10;Ton54FDVvCFnI56N7WTkGhDe7hMWLv1k1BFqKoYzKm1O+5SX4P69ZN39Q+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LUWtdEAAAADAQAADwAAAAAAAAABACAAAAAiAAAAZHJzL2Rvd25yZXYueG1s&#10;UEsBAhQAFAAAAAgAh07iQIVli8XGAQAAiwMAAA4AAAAAAAAAAQAgAAAAIA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749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7490" cy="27876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1.95pt;width:18.7pt;mso-position-horizontal:center;mso-position-horizontal-relative:margin;mso-wrap-style:none;z-index:251661312;mso-width-relative:page;mso-height-relative:page;" filled="f" stroked="f" coordsize="21600,21600" o:gfxdata="UEsDBAoAAAAAAIdO4kAAAAAAAAAAAAAAAAAEAAAAZHJzL1BLAwQUAAAACACHTuJALmLzRNIAAAAD&#10;AQAADwAAAGRycy9kb3ducmV2LnhtbE2PzU7DMBCE70h9B2uRuFGnP6IlxOmhEhduLQiJmxtv4wh7&#10;Hdlumrw9Wy5wWWk0o5lvq93onRgwpi6QgsW8AIHUBNNRq+Dj/fVxCyJlTUa7QKhgwgS7enZX6dKE&#10;Kx1wOOZWcAmlUiuwOfellKmx6HWahx6JvXOIXmeWsZUm6iuXeyeXRfEkve6IF6zucW+x+T5evILN&#10;+BmwT7jHr/PQRNtNW/c2KfVwvyheQGQc818YbviMDjUzncKFTBJOAT+Sfy97q80axEnBevUMsq7k&#10;f/b6B1BLAwQUAAAACACHTuJA4I14H8cBAACLAwAADgAAAGRycy9lMm9Eb2MueG1srVPBjtMwEL0j&#10;7T9YvlO3BbZL1HTFqlqEhABpdz/AdZzGku2xPG6T/gD8AScu3PmufgfjJO3CctkDF2c8M3kz7814&#10;ed05y/Y6ogFf8tlkypn2CirjtyV/uL99ecUZJukracHrkh808uvVxYtlGwo9hwZspSMjEI9FG0re&#10;pBQKIVA12kmcQNCegjVEJxNd41ZUUbaE7qyYT6eXooVYhQhKI5J3PQT5iBifAwh1bZReg9o57dOA&#10;GrWViShhYwLyVd9tXWuVPtc16sRsyYlp6k8qQvYmn2K1lMU2ytAYNbYgn9PCE05OGk9Fz1BrmSTb&#10;RfMPlDMqAkKdJgqcGIj0ihCL2fSJNneNDLrnQlJjOIuO/w9Wfdp/icxUtAmceelo4Mfv344/fh1/&#10;fmWzLE8bsKCsu0B5qbuBLqeOfiRnZt3V0eUv8WEUJ3EPZ3F1l5gi5/zV4vVbiigKzRdXi8s3GUU8&#10;/hwipvcaHMtGySPNrpdU7j9iGlJPKbmWh1tjLfllYf1fDsLMHpE7HzrMVuo23dj2BqoDsWlp7CX3&#10;tOWc2Q+eVM0bcjLiydiMRq6B4d0uUeG+n4w6QI3FaEY9o3Gf8hL8ee+zHt/Q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uYvNE0gAAAAMBAAAPAAAAAAAAAAEAIAAAACIAAABkcnMvZG93bnJldi54&#10;bWxQSwECFAAUAAAACACHTuJA4I14H8cBAACLAwAADgAAAAAAAAABACAAAAAh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C8124"/>
    <w:multiLevelType w:val="singleLevel"/>
    <w:tmpl w:val="89AC8124"/>
    <w:lvl w:ilvl="0" w:tentative="0">
      <w:start w:val="2"/>
      <w:numFmt w:val="chineseCounting"/>
      <w:suff w:val="nothing"/>
      <w:lvlText w:val="（%1）"/>
      <w:lvlJc w:val="left"/>
      <w:pPr>
        <w:ind w:left="-10"/>
      </w:pPr>
      <w:rPr>
        <w:rFonts w:hint="eastAsia"/>
      </w:rPr>
    </w:lvl>
  </w:abstractNum>
  <w:abstractNum w:abstractNumId="1">
    <w:nsid w:val="C4B920A9"/>
    <w:multiLevelType w:val="singleLevel"/>
    <w:tmpl w:val="C4B920A9"/>
    <w:lvl w:ilvl="0" w:tentative="0">
      <w:start w:val="1"/>
      <w:numFmt w:val="chineseCounting"/>
      <w:suff w:val="space"/>
      <w:lvlText w:val="第%1部分"/>
      <w:lvlJc w:val="left"/>
      <w:rPr>
        <w:rFonts w:hint="eastAsia"/>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xNzJlMDg3NDQ4ZmZjYTQzNjQ3MzJjZTkzZmQwNDYifQ=="/>
  </w:docVars>
  <w:rsids>
    <w:rsidRoot w:val="06112BD0"/>
    <w:rsid w:val="000A749F"/>
    <w:rsid w:val="000C7F9D"/>
    <w:rsid w:val="001136CE"/>
    <w:rsid w:val="001219AE"/>
    <w:rsid w:val="00140453"/>
    <w:rsid w:val="00153E3E"/>
    <w:rsid w:val="001E6E81"/>
    <w:rsid w:val="001F7A94"/>
    <w:rsid w:val="00222B33"/>
    <w:rsid w:val="00224A78"/>
    <w:rsid w:val="00265AC2"/>
    <w:rsid w:val="00296226"/>
    <w:rsid w:val="002C27DA"/>
    <w:rsid w:val="002C3460"/>
    <w:rsid w:val="002E38BD"/>
    <w:rsid w:val="00320DDA"/>
    <w:rsid w:val="003C56C3"/>
    <w:rsid w:val="003E6B2F"/>
    <w:rsid w:val="00417EDA"/>
    <w:rsid w:val="004240BA"/>
    <w:rsid w:val="00433189"/>
    <w:rsid w:val="00440C5D"/>
    <w:rsid w:val="00467573"/>
    <w:rsid w:val="00473E8F"/>
    <w:rsid w:val="00491E6A"/>
    <w:rsid w:val="004B1350"/>
    <w:rsid w:val="004E3CC1"/>
    <w:rsid w:val="004E540A"/>
    <w:rsid w:val="005239B0"/>
    <w:rsid w:val="00525DFE"/>
    <w:rsid w:val="00573F0C"/>
    <w:rsid w:val="00576791"/>
    <w:rsid w:val="00593CBD"/>
    <w:rsid w:val="005C48F1"/>
    <w:rsid w:val="00615F75"/>
    <w:rsid w:val="00637CC5"/>
    <w:rsid w:val="00655831"/>
    <w:rsid w:val="0068408F"/>
    <w:rsid w:val="006861BB"/>
    <w:rsid w:val="00694CAD"/>
    <w:rsid w:val="006B1D5E"/>
    <w:rsid w:val="0070386F"/>
    <w:rsid w:val="00742F23"/>
    <w:rsid w:val="00785A66"/>
    <w:rsid w:val="00787AA0"/>
    <w:rsid w:val="007A4A89"/>
    <w:rsid w:val="007C4E14"/>
    <w:rsid w:val="008201F5"/>
    <w:rsid w:val="00866F64"/>
    <w:rsid w:val="008A47C5"/>
    <w:rsid w:val="008E1789"/>
    <w:rsid w:val="00937DEC"/>
    <w:rsid w:val="009603FA"/>
    <w:rsid w:val="00974CDB"/>
    <w:rsid w:val="009A059D"/>
    <w:rsid w:val="009A19F1"/>
    <w:rsid w:val="009C28F6"/>
    <w:rsid w:val="009C2BBC"/>
    <w:rsid w:val="009F7ED1"/>
    <w:rsid w:val="00A016C5"/>
    <w:rsid w:val="00A04A3D"/>
    <w:rsid w:val="00A20B85"/>
    <w:rsid w:val="00A306CF"/>
    <w:rsid w:val="00A4756C"/>
    <w:rsid w:val="00AF5F91"/>
    <w:rsid w:val="00B215B4"/>
    <w:rsid w:val="00BA1CBD"/>
    <w:rsid w:val="00BC2A9D"/>
    <w:rsid w:val="00BC4B36"/>
    <w:rsid w:val="00C569C1"/>
    <w:rsid w:val="00C87256"/>
    <w:rsid w:val="00C91323"/>
    <w:rsid w:val="00CF2299"/>
    <w:rsid w:val="00D728F5"/>
    <w:rsid w:val="00D94B46"/>
    <w:rsid w:val="00DA1387"/>
    <w:rsid w:val="00DD042E"/>
    <w:rsid w:val="00E81FD1"/>
    <w:rsid w:val="00EC5846"/>
    <w:rsid w:val="00FA33C6"/>
    <w:rsid w:val="00FB0EC2"/>
    <w:rsid w:val="00FB350C"/>
    <w:rsid w:val="00FD0D61"/>
    <w:rsid w:val="00FD611F"/>
    <w:rsid w:val="06112BD0"/>
    <w:rsid w:val="078B22AC"/>
    <w:rsid w:val="080859A6"/>
    <w:rsid w:val="08F50BF9"/>
    <w:rsid w:val="09687E9D"/>
    <w:rsid w:val="0B2F0FBD"/>
    <w:rsid w:val="0BDD50F5"/>
    <w:rsid w:val="11AB30E1"/>
    <w:rsid w:val="13273F8C"/>
    <w:rsid w:val="1837038F"/>
    <w:rsid w:val="1B706E8B"/>
    <w:rsid w:val="1E5E590D"/>
    <w:rsid w:val="1F7D60C4"/>
    <w:rsid w:val="21C40BA6"/>
    <w:rsid w:val="2261209E"/>
    <w:rsid w:val="23037C94"/>
    <w:rsid w:val="248E06B3"/>
    <w:rsid w:val="285F5A45"/>
    <w:rsid w:val="2C306C23"/>
    <w:rsid w:val="3AF06A12"/>
    <w:rsid w:val="3E075940"/>
    <w:rsid w:val="3EA0189E"/>
    <w:rsid w:val="40BE7E6B"/>
    <w:rsid w:val="44AF77DE"/>
    <w:rsid w:val="4543149A"/>
    <w:rsid w:val="45C80F87"/>
    <w:rsid w:val="49411452"/>
    <w:rsid w:val="4A0C503C"/>
    <w:rsid w:val="4AF97903"/>
    <w:rsid w:val="4CEB5BE0"/>
    <w:rsid w:val="4E0B3EC7"/>
    <w:rsid w:val="504209D1"/>
    <w:rsid w:val="504B1906"/>
    <w:rsid w:val="51116768"/>
    <w:rsid w:val="52C362FF"/>
    <w:rsid w:val="53135EC1"/>
    <w:rsid w:val="55380785"/>
    <w:rsid w:val="55F6285D"/>
    <w:rsid w:val="56437F23"/>
    <w:rsid w:val="56E75C12"/>
    <w:rsid w:val="57160908"/>
    <w:rsid w:val="57EE3FF7"/>
    <w:rsid w:val="5D4E364F"/>
    <w:rsid w:val="60A07F66"/>
    <w:rsid w:val="60B14CFC"/>
    <w:rsid w:val="62873F8A"/>
    <w:rsid w:val="62E27587"/>
    <w:rsid w:val="68EA39A3"/>
    <w:rsid w:val="6C7D4B2E"/>
    <w:rsid w:val="6D104721"/>
    <w:rsid w:val="6DEF556F"/>
    <w:rsid w:val="710A0FA8"/>
    <w:rsid w:val="72366041"/>
    <w:rsid w:val="77D90E8E"/>
    <w:rsid w:val="79C4006F"/>
    <w:rsid w:val="7C7C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eastAsia" w:ascii="宋体" w:hAnsi="宋体" w:eastAsia="宋体" w:cs="宋体"/>
      <w:color w:val="000000"/>
      <w:sz w:val="20"/>
      <w:szCs w:val="20"/>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B732A-6387-45C1-AAAC-8A6B4382D0F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2014</Words>
  <Characters>11481</Characters>
  <Lines>95</Lines>
  <Paragraphs>26</Paragraphs>
  <TotalTime>3</TotalTime>
  <ScaleCrop>false</ScaleCrop>
  <LinksUpToDate>false</LinksUpToDate>
  <CharactersWithSpaces>13469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2022-08-24T03:40:00Z</dcterms:created>
  <dc:creator>Administrator</dc:creator>
  <cp:lastModifiedBy>Administrator</cp:lastModifiedBy>
  <dcterms:modified xsi:type="dcterms:W3CDTF">2022-08-30T07:16:44Z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9012B667C063466485DA7D1EBD4F8C11</vt:lpwstr>
  </property>
</Properties>
</file>