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38" w:rsidRDefault="00FE61FC">
      <w:pPr>
        <w:pStyle w:val="3"/>
        <w:widowControl/>
        <w:spacing w:beforeAutospacing="0" w:after="420" w:afterAutospacing="0"/>
        <w:jc w:val="center"/>
        <w:rPr>
          <w:rFonts w:ascii="微软雅黑" w:eastAsia="微软雅黑" w:hAnsi="微软雅黑" w:cs="微软雅黑" w:hint="default"/>
          <w:color w:val="333333"/>
          <w:sz w:val="45"/>
          <w:szCs w:val="45"/>
        </w:rPr>
      </w:pPr>
      <w:r>
        <w:rPr>
          <w:rFonts w:ascii="黑体" w:eastAsia="黑体" w:hAnsi="黑体" w:cs="黑体"/>
          <w:color w:val="333333"/>
          <w:sz w:val="45"/>
          <w:szCs w:val="45"/>
        </w:rPr>
        <w:t>尉氏</w:t>
      </w:r>
      <w:proofErr w:type="gramStart"/>
      <w:r>
        <w:rPr>
          <w:rFonts w:ascii="黑体" w:eastAsia="黑体" w:hAnsi="黑体" w:cs="黑体"/>
          <w:color w:val="333333"/>
          <w:sz w:val="45"/>
          <w:szCs w:val="45"/>
        </w:rPr>
        <w:t>县卫健委卫生</w:t>
      </w:r>
      <w:proofErr w:type="gramEnd"/>
      <w:r>
        <w:rPr>
          <w:rFonts w:ascii="黑体" w:eastAsia="黑体" w:hAnsi="黑体" w:cs="黑体"/>
          <w:color w:val="333333"/>
          <w:sz w:val="45"/>
          <w:szCs w:val="45"/>
        </w:rPr>
        <w:t>监督所</w:t>
      </w:r>
      <w:r>
        <w:rPr>
          <w:rFonts w:ascii="黑体" w:eastAsia="黑体" w:hAnsi="黑体" w:cs="黑体"/>
          <w:color w:val="333333"/>
          <w:sz w:val="45"/>
          <w:szCs w:val="45"/>
        </w:rPr>
        <w:t>轻微违法行为免予处罚清单</w:t>
      </w:r>
    </w:p>
    <w:tbl>
      <w:tblPr>
        <w:tblpPr w:leftFromText="180" w:rightFromText="180" w:vertAnchor="text" w:horzAnchor="page" w:tblpXSpec="center" w:tblpY="1405"/>
        <w:tblOverlap w:val="never"/>
        <w:tblW w:w="13780" w:type="dxa"/>
        <w:jc w:val="center"/>
        <w:tblCellSpacing w:w="0" w:type="dxa"/>
        <w:tblBorders>
          <w:top w:val="single" w:sz="6" w:space="0" w:color="AFAFAF"/>
          <w:left w:val="single" w:sz="6" w:space="0" w:color="AFAFAF"/>
        </w:tblBorders>
        <w:tblCellMar>
          <w:left w:w="0" w:type="dxa"/>
          <w:right w:w="0" w:type="dxa"/>
        </w:tblCellMar>
        <w:tblLook w:val="04A0"/>
      </w:tblPr>
      <w:tblGrid>
        <w:gridCol w:w="704"/>
        <w:gridCol w:w="2698"/>
        <w:gridCol w:w="7527"/>
        <w:gridCol w:w="1723"/>
        <w:gridCol w:w="1128"/>
      </w:tblGrid>
      <w:tr w:rsidR="00922238">
        <w:trPr>
          <w:trHeight w:val="750"/>
          <w:tblCellSpacing w:w="0" w:type="dxa"/>
          <w:jc w:val="center"/>
        </w:trPr>
        <w:tc>
          <w:tcPr>
            <w:tcW w:w="13780" w:type="dxa"/>
            <w:gridSpan w:val="5"/>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sidRPr="00FE61FC">
              <w:rPr>
                <w:rFonts w:ascii="黑体" w:eastAsia="黑体" w:hAnsi="黑体" w:cs="黑体" w:hint="eastAsia"/>
                <w:kern w:val="0"/>
                <w:sz w:val="32"/>
                <w:szCs w:val="32"/>
                <w:lang/>
              </w:rPr>
              <w:t>尉氏县卫生健康委员会轻微违法行为免于处罚清单</w:t>
            </w:r>
          </w:p>
        </w:tc>
      </w:tr>
      <w:tr w:rsidR="00922238">
        <w:trPr>
          <w:trHeight w:val="1005"/>
          <w:tblCellSpacing w:w="0" w:type="dxa"/>
          <w:jc w:val="center"/>
        </w:trPr>
        <w:tc>
          <w:tcPr>
            <w:tcW w:w="704"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b/>
                <w:bCs/>
                <w:sz w:val="28"/>
                <w:szCs w:val="28"/>
              </w:rPr>
            </w:pPr>
            <w:r>
              <w:rPr>
                <w:rFonts w:ascii="仿宋" w:eastAsia="仿宋" w:hAnsi="仿宋" w:cs="仿宋" w:hint="eastAsia"/>
                <w:b/>
                <w:bCs/>
                <w:kern w:val="0"/>
                <w:sz w:val="28"/>
                <w:szCs w:val="28"/>
                <w:lang/>
              </w:rPr>
              <w:t>序号</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b/>
                <w:bCs/>
                <w:sz w:val="28"/>
                <w:szCs w:val="28"/>
              </w:rPr>
            </w:pPr>
            <w:r>
              <w:rPr>
                <w:rFonts w:ascii="仿宋" w:eastAsia="仿宋" w:hAnsi="仿宋" w:cs="仿宋" w:hint="eastAsia"/>
                <w:b/>
                <w:bCs/>
                <w:kern w:val="0"/>
                <w:sz w:val="28"/>
                <w:szCs w:val="28"/>
                <w:lang/>
              </w:rPr>
              <w:t>处罚事项名称</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b/>
                <w:bCs/>
                <w:sz w:val="28"/>
                <w:szCs w:val="28"/>
              </w:rPr>
            </w:pPr>
            <w:r>
              <w:rPr>
                <w:rFonts w:ascii="仿宋" w:eastAsia="仿宋" w:hAnsi="仿宋" w:cs="仿宋" w:hint="eastAsia"/>
                <w:b/>
                <w:bCs/>
                <w:kern w:val="0"/>
                <w:sz w:val="28"/>
                <w:szCs w:val="28"/>
                <w:lang/>
              </w:rPr>
              <w:t>设定依据</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b/>
                <w:bCs/>
                <w:sz w:val="28"/>
                <w:szCs w:val="28"/>
              </w:rPr>
            </w:pPr>
            <w:r>
              <w:rPr>
                <w:rFonts w:ascii="仿宋" w:eastAsia="仿宋" w:hAnsi="仿宋" w:cs="仿宋" w:hint="eastAsia"/>
                <w:b/>
                <w:bCs/>
                <w:kern w:val="0"/>
                <w:sz w:val="28"/>
                <w:szCs w:val="28"/>
                <w:lang/>
              </w:rPr>
              <w:t>免予处罚情形</w:t>
            </w:r>
          </w:p>
        </w:tc>
        <w:tc>
          <w:tcPr>
            <w:tcW w:w="1128"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b/>
                <w:bCs/>
                <w:sz w:val="28"/>
                <w:szCs w:val="28"/>
              </w:rPr>
            </w:pPr>
            <w:r>
              <w:rPr>
                <w:rFonts w:ascii="仿宋" w:eastAsia="仿宋" w:hAnsi="仿宋" w:cs="仿宋" w:hint="eastAsia"/>
                <w:b/>
                <w:bCs/>
                <w:kern w:val="0"/>
                <w:sz w:val="28"/>
                <w:szCs w:val="28"/>
                <w:lang/>
              </w:rPr>
              <w:t>备注</w:t>
            </w:r>
          </w:p>
        </w:tc>
      </w:tr>
      <w:tr w:rsidR="00922238">
        <w:trPr>
          <w:trHeight w:val="1649"/>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1</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逾期</w:t>
            </w:r>
            <w:proofErr w:type="gramStart"/>
            <w:r>
              <w:rPr>
                <w:rFonts w:ascii="仿宋" w:eastAsia="仿宋" w:hAnsi="仿宋" w:cs="仿宋" w:hint="eastAsia"/>
                <w:kern w:val="0"/>
                <w:sz w:val="24"/>
                <w:lang/>
              </w:rPr>
              <w:t>不</w:t>
            </w:r>
            <w:proofErr w:type="gramEnd"/>
            <w:r>
              <w:rPr>
                <w:rFonts w:ascii="仿宋" w:eastAsia="仿宋" w:hAnsi="仿宋" w:cs="仿宋" w:hint="eastAsia"/>
                <w:kern w:val="0"/>
                <w:sz w:val="24"/>
                <w:lang/>
              </w:rPr>
              <w:t>校验《医疗机构执业许可证》仍从事诊疗活动的</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《医疗机构管理条例》第四十五条</w:t>
            </w:r>
            <w:r>
              <w:rPr>
                <w:rFonts w:ascii="仿宋" w:eastAsia="仿宋" w:hAnsi="仿宋" w:cs="仿宋" w:hint="eastAsia"/>
                <w:kern w:val="0"/>
                <w:sz w:val="24"/>
                <w:lang/>
              </w:rPr>
              <w:t xml:space="preserve"> </w:t>
            </w:r>
            <w:r>
              <w:rPr>
                <w:rFonts w:ascii="仿宋" w:eastAsia="仿宋" w:hAnsi="仿宋" w:cs="仿宋" w:hint="eastAsia"/>
                <w:kern w:val="0"/>
                <w:sz w:val="24"/>
                <w:lang/>
              </w:rPr>
              <w:t>违反本条例第二十二条规定，逾期</w:t>
            </w:r>
            <w:proofErr w:type="gramStart"/>
            <w:r>
              <w:rPr>
                <w:rFonts w:ascii="仿宋" w:eastAsia="仿宋" w:hAnsi="仿宋" w:cs="仿宋" w:hint="eastAsia"/>
                <w:kern w:val="0"/>
                <w:sz w:val="24"/>
                <w:lang/>
              </w:rPr>
              <w:t>不</w:t>
            </w:r>
            <w:proofErr w:type="gramEnd"/>
            <w:r>
              <w:rPr>
                <w:rFonts w:ascii="仿宋" w:eastAsia="仿宋" w:hAnsi="仿宋" w:cs="仿宋" w:hint="eastAsia"/>
                <w:kern w:val="0"/>
                <w:sz w:val="24"/>
                <w:lang/>
              </w:rPr>
              <w:t>校验《医疗机构执业许可证》仍从事诊疗活动的，由县级以上人民政府卫生行政部门责令其限期补办校验手续；拒不校验的，吊销其《医疗机构执业许可证》。</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当事人在限定期限内补办校验手续的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2653"/>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lastRenderedPageBreak/>
              <w:t>2</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未按照规定建立卫生管理制度、设立卫生管理部门或者配备专</w:t>
            </w:r>
            <w:r>
              <w:rPr>
                <w:rFonts w:ascii="仿宋" w:eastAsia="仿宋" w:hAnsi="仿宋" w:cs="仿宋" w:hint="eastAsia"/>
                <w:kern w:val="0"/>
                <w:sz w:val="24"/>
                <w:lang/>
              </w:rPr>
              <w:t>(</w:t>
            </w:r>
            <w:r>
              <w:rPr>
                <w:rFonts w:ascii="仿宋" w:eastAsia="仿宋" w:hAnsi="仿宋" w:cs="仿宋" w:hint="eastAsia"/>
                <w:kern w:val="0"/>
                <w:sz w:val="24"/>
                <w:lang/>
              </w:rPr>
              <w:t>兼</w:t>
            </w:r>
            <w:r>
              <w:rPr>
                <w:rFonts w:ascii="仿宋" w:eastAsia="仿宋" w:hAnsi="仿宋" w:cs="仿宋" w:hint="eastAsia"/>
                <w:kern w:val="0"/>
                <w:sz w:val="24"/>
                <w:lang/>
              </w:rPr>
              <w:t>)</w:t>
            </w:r>
            <w:proofErr w:type="gramStart"/>
            <w:r>
              <w:rPr>
                <w:rFonts w:ascii="仿宋" w:eastAsia="仿宋" w:hAnsi="仿宋" w:cs="仿宋" w:hint="eastAsia"/>
                <w:kern w:val="0"/>
                <w:sz w:val="24"/>
                <w:lang/>
              </w:rPr>
              <w:t>职卫生</w:t>
            </w:r>
            <w:proofErr w:type="gramEnd"/>
            <w:r>
              <w:rPr>
                <w:rFonts w:ascii="仿宋" w:eastAsia="仿宋" w:hAnsi="仿宋" w:cs="仿宋" w:hint="eastAsia"/>
                <w:kern w:val="0"/>
                <w:sz w:val="24"/>
                <w:lang/>
              </w:rPr>
              <w:t>管理人员，或者未建立卫生管理档案的</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r>
              <w:rPr>
                <w:rFonts w:ascii="仿宋" w:eastAsia="仿宋" w:hAnsi="仿宋" w:cs="仿宋" w:hint="eastAsia"/>
                <w:kern w:val="0"/>
                <w:sz w:val="24"/>
                <w:lang/>
              </w:rPr>
              <w:t>:</w:t>
            </w:r>
            <w:r>
              <w:rPr>
                <w:rFonts w:ascii="仿宋" w:eastAsia="仿宋" w:hAnsi="仿宋" w:cs="仿宋" w:hint="eastAsia"/>
                <w:kern w:val="0"/>
                <w:sz w:val="24"/>
                <w:lang/>
              </w:rPr>
              <w:br/>
              <w:t>(</w:t>
            </w:r>
            <w:proofErr w:type="gramStart"/>
            <w:r>
              <w:rPr>
                <w:rFonts w:ascii="仿宋" w:eastAsia="仿宋" w:hAnsi="仿宋" w:cs="仿宋" w:hint="eastAsia"/>
                <w:kern w:val="0"/>
                <w:sz w:val="24"/>
                <w:lang/>
              </w:rPr>
              <w:t>一</w:t>
            </w:r>
            <w:proofErr w:type="gramEnd"/>
            <w:r>
              <w:rPr>
                <w:rFonts w:ascii="仿宋" w:eastAsia="仿宋" w:hAnsi="仿宋" w:cs="仿宋" w:hint="eastAsia"/>
                <w:kern w:val="0"/>
                <w:sz w:val="24"/>
                <w:lang/>
              </w:rPr>
              <w:t>)</w:t>
            </w:r>
            <w:r>
              <w:rPr>
                <w:rFonts w:ascii="仿宋" w:eastAsia="仿宋" w:hAnsi="仿宋" w:cs="仿宋" w:hint="eastAsia"/>
                <w:kern w:val="0"/>
                <w:sz w:val="24"/>
                <w:lang/>
              </w:rPr>
              <w:t>未按照规定建立卫生管理制度、设立卫生管理部门或者配备专</w:t>
            </w:r>
            <w:r>
              <w:rPr>
                <w:rFonts w:ascii="仿宋" w:eastAsia="仿宋" w:hAnsi="仿宋" w:cs="仿宋" w:hint="eastAsia"/>
                <w:kern w:val="0"/>
                <w:sz w:val="24"/>
                <w:lang/>
              </w:rPr>
              <w:t>(</w:t>
            </w:r>
            <w:r>
              <w:rPr>
                <w:rFonts w:ascii="仿宋" w:eastAsia="仿宋" w:hAnsi="仿宋" w:cs="仿宋" w:hint="eastAsia"/>
                <w:kern w:val="0"/>
                <w:sz w:val="24"/>
                <w:lang/>
              </w:rPr>
              <w:t>兼</w:t>
            </w:r>
            <w:r>
              <w:rPr>
                <w:rFonts w:ascii="仿宋" w:eastAsia="仿宋" w:hAnsi="仿宋" w:cs="仿宋" w:hint="eastAsia"/>
                <w:kern w:val="0"/>
                <w:sz w:val="24"/>
                <w:lang/>
              </w:rPr>
              <w:t>)</w:t>
            </w:r>
            <w:proofErr w:type="gramStart"/>
            <w:r>
              <w:rPr>
                <w:rFonts w:ascii="仿宋" w:eastAsia="仿宋" w:hAnsi="仿宋" w:cs="仿宋" w:hint="eastAsia"/>
                <w:kern w:val="0"/>
                <w:sz w:val="24"/>
                <w:lang/>
              </w:rPr>
              <w:t>职卫生</w:t>
            </w:r>
            <w:proofErr w:type="gramEnd"/>
            <w:r>
              <w:rPr>
                <w:rFonts w:ascii="仿宋" w:eastAsia="仿宋" w:hAnsi="仿宋" w:cs="仿宋" w:hint="eastAsia"/>
                <w:kern w:val="0"/>
                <w:sz w:val="24"/>
                <w:lang/>
              </w:rPr>
              <w:t>管理人员，或者未建立卫生管理档案的；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w:t>
            </w:r>
            <w:r>
              <w:rPr>
                <w:rFonts w:ascii="仿宋" w:eastAsia="仿宋" w:hAnsi="仿宋" w:cs="仿宋" w:hint="eastAsia"/>
                <w:kern w:val="0"/>
                <w:sz w:val="24"/>
                <w:lang/>
              </w:rPr>
              <w:t>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3048"/>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3</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未按照规定组织从业人员进行相关卫生法律知识和公共场所卫生知识培训，或者安排未经相关卫生法律知识和公共场所卫生知识培训考核的从业人员上岗的</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w:t>
            </w:r>
            <w:r>
              <w:rPr>
                <w:rFonts w:ascii="仿宋" w:eastAsia="仿宋" w:hAnsi="仿宋" w:cs="仿宋" w:hint="eastAsia"/>
                <w:kern w:val="0"/>
                <w:sz w:val="24"/>
                <w:lang/>
              </w:rPr>
              <w:t>二</w:t>
            </w:r>
            <w:r>
              <w:rPr>
                <w:rFonts w:ascii="仿宋" w:eastAsia="仿宋" w:hAnsi="仿宋" w:cs="仿宋" w:hint="eastAsia"/>
                <w:kern w:val="0"/>
                <w:sz w:val="24"/>
                <w:lang/>
              </w:rPr>
              <w:t>)</w:t>
            </w:r>
            <w:r>
              <w:rPr>
                <w:rFonts w:ascii="仿宋" w:eastAsia="仿宋" w:hAnsi="仿宋" w:cs="仿宋" w:hint="eastAsia"/>
                <w:kern w:val="0"/>
                <w:sz w:val="24"/>
                <w:lang/>
              </w:rPr>
              <w:t>未按照规定组织从业人员进行相关卫生法律知识和公共场所卫生知识培训，或者安排未经相关卫生法律知识和公共场所卫生知识培训考核的从业人员上岗的；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2443"/>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4</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未按照规定公示公共场所卫生许可证、卫生检测结果和卫生信誉度等级的</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r>
              <w:rPr>
                <w:rFonts w:ascii="仿宋" w:eastAsia="仿宋" w:hAnsi="仿宋" w:cs="仿宋" w:hint="eastAsia"/>
                <w:kern w:val="0"/>
                <w:sz w:val="24"/>
                <w:lang/>
              </w:rPr>
              <w:t>:</w:t>
            </w:r>
            <w:r>
              <w:rPr>
                <w:rFonts w:ascii="仿宋" w:eastAsia="仿宋" w:hAnsi="仿宋" w:cs="仿宋" w:hint="eastAsia"/>
                <w:kern w:val="0"/>
                <w:sz w:val="24"/>
                <w:lang/>
              </w:rPr>
              <w:br/>
              <w:t>(</w:t>
            </w:r>
            <w:r>
              <w:rPr>
                <w:rFonts w:ascii="仿宋" w:eastAsia="仿宋" w:hAnsi="仿宋" w:cs="仿宋" w:hint="eastAsia"/>
                <w:kern w:val="0"/>
                <w:sz w:val="24"/>
                <w:lang/>
              </w:rPr>
              <w:t>八</w:t>
            </w:r>
            <w:r>
              <w:rPr>
                <w:rFonts w:ascii="仿宋" w:eastAsia="仿宋" w:hAnsi="仿宋" w:cs="仿宋" w:hint="eastAsia"/>
                <w:kern w:val="0"/>
                <w:sz w:val="24"/>
                <w:lang/>
              </w:rPr>
              <w:t>)</w:t>
            </w:r>
            <w:r>
              <w:rPr>
                <w:rFonts w:ascii="仿宋" w:eastAsia="仿宋" w:hAnsi="仿宋" w:cs="仿宋" w:hint="eastAsia"/>
                <w:kern w:val="0"/>
                <w:sz w:val="24"/>
                <w:lang/>
              </w:rPr>
              <w:t>未按照规定公示公共场所卫生许可证、卫生检测结果和卫生信誉度等级的；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1374"/>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lastRenderedPageBreak/>
              <w:t>5</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医疗卫生机构未履行报告职责</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《医师法》第六十一条</w:t>
            </w:r>
            <w:r>
              <w:rPr>
                <w:rFonts w:ascii="仿宋" w:eastAsia="仿宋" w:hAnsi="仿宋" w:cs="仿宋" w:hint="eastAsia"/>
                <w:kern w:val="0"/>
                <w:sz w:val="24"/>
                <w:lang/>
              </w:rPr>
              <w:t xml:space="preserve"> </w:t>
            </w:r>
            <w:r>
              <w:rPr>
                <w:rFonts w:ascii="仿宋" w:eastAsia="仿宋" w:hAnsi="仿宋" w:cs="仿宋" w:hint="eastAsia"/>
                <w:kern w:val="0"/>
                <w:sz w:val="24"/>
                <w:lang/>
              </w:rPr>
              <w:t>违反本法规定，医疗卫生机构未履行报告职责，造成严重后果的，由县级以上人民政府卫生健康主管部门给予警告，对直接负责的主管人员和其他直接责任人员依法给予处分。</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当事人在限定期限内改正违法行为，且未造成严重后果的。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2882"/>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6</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医疗机构未建立医疗技术临床应用管理专门组织或者未指定专（兼）职人员负责具体管理工作</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after="210" w:line="300" w:lineRule="atLeast"/>
              <w:rPr>
                <w:rFonts w:ascii="仿宋" w:eastAsia="仿宋" w:hAnsi="仿宋" w:cs="仿宋"/>
                <w:sz w:val="24"/>
              </w:rPr>
            </w:pPr>
            <w:r>
              <w:rPr>
                <w:rFonts w:ascii="仿宋" w:eastAsia="仿宋" w:hAnsi="仿宋" w:cs="仿宋" w:hint="eastAsia"/>
                <w:kern w:val="0"/>
                <w:sz w:val="24"/>
                <w:lang/>
              </w:rPr>
              <w:t>《医疗技术临床应用管理办法》第四十一条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（一）未建立医疗技术临床应用管理专门组织或者未指定专（兼）职人员负责具体管理工作的；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当事人在限定期限内改正违法行为，且未造成严重后果的。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90"/>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7</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医疗机构未建立医疗技术临床应用管理相关规章制度</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after="210" w:line="300" w:lineRule="atLeast"/>
              <w:rPr>
                <w:rFonts w:ascii="仿宋" w:eastAsia="仿宋" w:hAnsi="仿宋" w:cs="仿宋"/>
                <w:sz w:val="24"/>
              </w:rPr>
            </w:pPr>
            <w:r>
              <w:rPr>
                <w:rFonts w:ascii="仿宋" w:eastAsia="仿宋" w:hAnsi="仿宋" w:cs="仿宋" w:hint="eastAsia"/>
                <w:kern w:val="0"/>
                <w:sz w:val="24"/>
                <w:lang/>
              </w:rPr>
              <w:t>《医疗技术临床应用管理办法》第四十一条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（二）未建立医疗技术临床应用管理相关规章制度的；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当事人在限定期限内改正违法行为，且未造成严重后果的。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2825"/>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lastRenderedPageBreak/>
              <w:t>8</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医疗机构未按照要求向国家和省级医疗技术临床应用信息化管理平台报送相关信息</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after="210" w:line="300" w:lineRule="atLeast"/>
              <w:rPr>
                <w:rFonts w:ascii="仿宋" w:eastAsia="仿宋" w:hAnsi="仿宋" w:cs="仿宋"/>
                <w:sz w:val="24"/>
              </w:rPr>
            </w:pPr>
            <w:r>
              <w:rPr>
                <w:rFonts w:ascii="仿宋" w:eastAsia="仿宋" w:hAnsi="仿宋" w:cs="仿宋" w:hint="eastAsia"/>
                <w:kern w:val="0"/>
                <w:sz w:val="24"/>
                <w:lang/>
              </w:rPr>
              <w:t>《医疗技术临床应用管理办法》第四十一条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（六）未按照要求向国家和省级医疗技术临床应用信息化管理平台报送相关信息的；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2806"/>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9</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医疗机构未将相关信息纳入院务公开范围向社会公开</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after="210" w:line="300" w:lineRule="atLeast"/>
              <w:rPr>
                <w:rFonts w:ascii="仿宋" w:eastAsia="仿宋" w:hAnsi="仿宋" w:cs="仿宋"/>
                <w:sz w:val="24"/>
              </w:rPr>
            </w:pPr>
            <w:r>
              <w:rPr>
                <w:rFonts w:ascii="仿宋" w:eastAsia="仿宋" w:hAnsi="仿宋" w:cs="仿宋" w:hint="eastAsia"/>
                <w:kern w:val="0"/>
                <w:sz w:val="24"/>
                <w:lang/>
              </w:rPr>
              <w:t>《医疗技术临床应用管理办法》第四十一条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（七）未将相关信息纳入院务公开范围向社会公开的；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2724"/>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lastRenderedPageBreak/>
              <w:t>10</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医疗机构未按要求保障医务人员接受医疗技术临床应用规范化培训权益</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《医疗技术临床应用管理办法》第四十一条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（八）未按要求保障医务人员接受医疗技术临床应用规范化培训权益的。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2523"/>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11</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投诉管理混乱</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after="210" w:line="300" w:lineRule="atLeast"/>
              <w:rPr>
                <w:rFonts w:ascii="仿宋" w:eastAsia="仿宋" w:hAnsi="仿宋" w:cs="仿宋"/>
                <w:sz w:val="24"/>
              </w:rPr>
            </w:pPr>
            <w:r>
              <w:rPr>
                <w:rFonts w:ascii="仿宋" w:eastAsia="仿宋" w:hAnsi="仿宋" w:cs="仿宋" w:hint="eastAsia"/>
                <w:kern w:val="0"/>
                <w:sz w:val="24"/>
                <w:lang/>
              </w:rPr>
              <w:t>《医疗机构投诉管理办法》第四十四条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（二）投诉管理混乱的；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90"/>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12</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未按规定建立健全</w:t>
            </w:r>
            <w:proofErr w:type="gramStart"/>
            <w:r>
              <w:rPr>
                <w:rFonts w:ascii="仿宋" w:eastAsia="仿宋" w:hAnsi="仿宋" w:cs="仿宋" w:hint="eastAsia"/>
                <w:kern w:val="0"/>
                <w:sz w:val="24"/>
                <w:lang/>
              </w:rPr>
              <w:t>医</w:t>
            </w:r>
            <w:proofErr w:type="gramEnd"/>
            <w:r>
              <w:rPr>
                <w:rFonts w:ascii="仿宋" w:eastAsia="仿宋" w:hAnsi="仿宋" w:cs="仿宋" w:hint="eastAsia"/>
                <w:kern w:val="0"/>
                <w:sz w:val="24"/>
                <w:lang/>
              </w:rPr>
              <w:t>患沟通机制</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after="210" w:line="300" w:lineRule="atLeast"/>
              <w:rPr>
                <w:rFonts w:ascii="仿宋" w:eastAsia="仿宋" w:hAnsi="仿宋" w:cs="仿宋"/>
                <w:sz w:val="24"/>
              </w:rPr>
            </w:pPr>
            <w:r>
              <w:rPr>
                <w:rFonts w:ascii="仿宋" w:eastAsia="仿宋" w:hAnsi="仿宋" w:cs="仿宋" w:hint="eastAsia"/>
                <w:kern w:val="0"/>
                <w:sz w:val="24"/>
                <w:lang/>
              </w:rPr>
              <w:t>《医疗机构投诉管理办法》第四十四条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（三）未按规定建立健全</w:t>
            </w:r>
            <w:proofErr w:type="gramStart"/>
            <w:r>
              <w:rPr>
                <w:rFonts w:ascii="仿宋" w:eastAsia="仿宋" w:hAnsi="仿宋" w:cs="仿宋" w:hint="eastAsia"/>
                <w:kern w:val="0"/>
                <w:sz w:val="24"/>
                <w:lang/>
              </w:rPr>
              <w:t>医</w:t>
            </w:r>
            <w:proofErr w:type="gramEnd"/>
            <w:r>
              <w:rPr>
                <w:rFonts w:ascii="仿宋" w:eastAsia="仿宋" w:hAnsi="仿宋" w:cs="仿宋" w:hint="eastAsia"/>
                <w:kern w:val="0"/>
                <w:sz w:val="24"/>
                <w:lang/>
              </w:rPr>
              <w:t>患沟通机制的；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1972"/>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lastRenderedPageBreak/>
              <w:t>13</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未设立临床用血管理委员会或者工作组</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after="210" w:line="300" w:lineRule="atLeast"/>
              <w:rPr>
                <w:rFonts w:ascii="仿宋" w:eastAsia="仿宋" w:hAnsi="仿宋" w:cs="仿宋"/>
                <w:sz w:val="24"/>
              </w:rPr>
            </w:pPr>
            <w:r>
              <w:rPr>
                <w:rFonts w:ascii="仿宋" w:eastAsia="仿宋" w:hAnsi="仿宋" w:cs="仿宋" w:hint="eastAsia"/>
                <w:kern w:val="0"/>
                <w:sz w:val="24"/>
                <w:lang/>
              </w:rPr>
              <w:t>《医疗机构临床用血管理办法》第三十五条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医疗机构有下列情形之一的，由县级以上人民政府卫生行政部门责令限期改正；逾期不改的，进行通报批评，并予以警告；情节严重或者造成严重后果的，可处</w:t>
            </w:r>
            <w:r>
              <w:rPr>
                <w:rFonts w:ascii="仿宋" w:eastAsia="仿宋" w:hAnsi="仿宋" w:cs="仿宋" w:hint="eastAsia"/>
                <w:kern w:val="0"/>
                <w:sz w:val="24"/>
                <w:lang/>
              </w:rPr>
              <w:t>3</w:t>
            </w:r>
            <w:r>
              <w:rPr>
                <w:rFonts w:ascii="仿宋" w:eastAsia="仿宋" w:hAnsi="仿宋" w:cs="仿宋" w:hint="eastAsia"/>
                <w:kern w:val="0"/>
                <w:sz w:val="24"/>
                <w:lang/>
              </w:rPr>
              <w:t>万元以下的罚款，对负有责任的主管人员和其他直接责任人员依法给予处分：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（一）未设立临床用血管理委员会或者工作组的；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2203"/>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14</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未拟定临床用</w:t>
            </w:r>
            <w:proofErr w:type="gramStart"/>
            <w:r>
              <w:rPr>
                <w:rFonts w:ascii="仿宋" w:eastAsia="仿宋" w:hAnsi="仿宋" w:cs="仿宋" w:hint="eastAsia"/>
                <w:kern w:val="0"/>
                <w:sz w:val="24"/>
                <w:lang/>
              </w:rPr>
              <w:t>血计划</w:t>
            </w:r>
            <w:proofErr w:type="gramEnd"/>
            <w:r>
              <w:rPr>
                <w:rFonts w:ascii="仿宋" w:eastAsia="仿宋" w:hAnsi="仿宋" w:cs="仿宋" w:hint="eastAsia"/>
                <w:kern w:val="0"/>
                <w:sz w:val="24"/>
                <w:lang/>
              </w:rPr>
              <w:t>或者一年内未对计划实施情况进行评估和考核</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《医疗机构临床用血管理办法》第三十五条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医疗机构有下列情形之一的，由县级以上人民政府卫生行政部门责令限期改正；逾期不改的，进行通报批评，并予以警告；情节严重或者造成严重后果的，可处</w:t>
            </w:r>
            <w:r>
              <w:rPr>
                <w:rFonts w:ascii="仿宋" w:eastAsia="仿宋" w:hAnsi="仿宋" w:cs="仿宋" w:hint="eastAsia"/>
                <w:kern w:val="0"/>
                <w:sz w:val="24"/>
                <w:lang/>
              </w:rPr>
              <w:t>4</w:t>
            </w:r>
            <w:r>
              <w:rPr>
                <w:rFonts w:ascii="仿宋" w:eastAsia="仿宋" w:hAnsi="仿宋" w:cs="仿宋" w:hint="eastAsia"/>
                <w:kern w:val="0"/>
                <w:sz w:val="24"/>
                <w:lang/>
              </w:rPr>
              <w:t>万元以下的罚款，对负有责任的主管人员和其他直接责任人员依法给予处分：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（二）未拟定临床用</w:t>
            </w:r>
            <w:proofErr w:type="gramStart"/>
            <w:r>
              <w:rPr>
                <w:rFonts w:ascii="仿宋" w:eastAsia="仿宋" w:hAnsi="仿宋" w:cs="仿宋" w:hint="eastAsia"/>
                <w:kern w:val="0"/>
                <w:sz w:val="24"/>
                <w:lang/>
              </w:rPr>
              <w:t>血计划</w:t>
            </w:r>
            <w:proofErr w:type="gramEnd"/>
            <w:r>
              <w:rPr>
                <w:rFonts w:ascii="仿宋" w:eastAsia="仿宋" w:hAnsi="仿宋" w:cs="仿宋" w:hint="eastAsia"/>
                <w:kern w:val="0"/>
                <w:sz w:val="24"/>
                <w:lang/>
              </w:rPr>
              <w:t>或者一年内未对计划实施情况进行评估和考核的；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1967"/>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15</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未建立医务人员临床用血和无偿献血知识培训制度</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《医疗机构临床用血管理办法》第三十五条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医疗机构有下列情形之一的，由县级以上人民政府卫生行政部门责令限期改正；逾期不改的，进行通报批评，并予以警告；情节严重或者造成严重后果的，可处</w:t>
            </w:r>
            <w:r>
              <w:rPr>
                <w:rFonts w:ascii="仿宋" w:eastAsia="仿宋" w:hAnsi="仿宋" w:cs="仿宋" w:hint="eastAsia"/>
                <w:kern w:val="0"/>
                <w:sz w:val="24"/>
                <w:lang/>
              </w:rPr>
              <w:t>7</w:t>
            </w:r>
            <w:r>
              <w:rPr>
                <w:rFonts w:ascii="仿宋" w:eastAsia="仿宋" w:hAnsi="仿宋" w:cs="仿宋" w:hint="eastAsia"/>
                <w:kern w:val="0"/>
                <w:sz w:val="24"/>
                <w:lang/>
              </w:rPr>
              <w:t>万元以下的罚款，对负有责任的主管人员和其他直接责任人员依法给予处分：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（五）未建立医务人员临床用血和无偿献血知识培训制度的；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1757"/>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16</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未建立科室和医师临床用</w:t>
            </w:r>
            <w:proofErr w:type="gramStart"/>
            <w:r>
              <w:rPr>
                <w:rFonts w:ascii="仿宋" w:eastAsia="仿宋" w:hAnsi="仿宋" w:cs="仿宋" w:hint="eastAsia"/>
                <w:kern w:val="0"/>
                <w:sz w:val="24"/>
                <w:lang/>
              </w:rPr>
              <w:t>血评价</w:t>
            </w:r>
            <w:proofErr w:type="gramEnd"/>
            <w:r>
              <w:rPr>
                <w:rFonts w:ascii="仿宋" w:eastAsia="仿宋" w:hAnsi="仿宋" w:cs="仿宋" w:hint="eastAsia"/>
                <w:kern w:val="0"/>
                <w:sz w:val="24"/>
                <w:lang/>
              </w:rPr>
              <w:t>及公示制度</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after="210" w:line="300" w:lineRule="atLeast"/>
              <w:rPr>
                <w:rFonts w:ascii="仿宋" w:eastAsia="仿宋" w:hAnsi="仿宋" w:cs="仿宋"/>
                <w:sz w:val="24"/>
              </w:rPr>
            </w:pPr>
            <w:r>
              <w:rPr>
                <w:rFonts w:ascii="仿宋" w:eastAsia="仿宋" w:hAnsi="仿宋" w:cs="仿宋" w:hint="eastAsia"/>
                <w:kern w:val="0"/>
                <w:sz w:val="24"/>
                <w:lang/>
              </w:rPr>
              <w:t>《医疗机构临床用血管理办法》第三十五条</w:t>
            </w:r>
            <w:r>
              <w:rPr>
                <w:rFonts w:ascii="仿宋" w:eastAsia="仿宋" w:hAnsi="仿宋" w:cs="仿宋" w:hint="eastAsia"/>
                <w:kern w:val="0"/>
                <w:sz w:val="24"/>
                <w:lang/>
              </w:rPr>
              <w:t xml:space="preserve"> </w:t>
            </w:r>
            <w:r>
              <w:rPr>
                <w:rFonts w:ascii="仿宋" w:eastAsia="仿宋" w:hAnsi="仿宋" w:cs="仿宋" w:hint="eastAsia"/>
                <w:kern w:val="0"/>
                <w:sz w:val="24"/>
                <w:lang/>
              </w:rPr>
              <w:t>医疗机构有下列情形之一的，由县级以上人民政府卫生行政部门责令限期改正；逾期不改的，进行通报批评，并予以警告；情节严重或者造成严重后果的，可处</w:t>
            </w:r>
            <w:r>
              <w:rPr>
                <w:rFonts w:ascii="仿宋" w:eastAsia="仿宋" w:hAnsi="仿宋" w:cs="仿宋" w:hint="eastAsia"/>
                <w:kern w:val="0"/>
                <w:sz w:val="24"/>
                <w:lang/>
              </w:rPr>
              <w:t>8</w:t>
            </w:r>
            <w:r>
              <w:rPr>
                <w:rFonts w:ascii="仿宋" w:eastAsia="仿宋" w:hAnsi="仿宋" w:cs="仿宋" w:hint="eastAsia"/>
                <w:kern w:val="0"/>
                <w:sz w:val="24"/>
                <w:lang/>
              </w:rPr>
              <w:t>万元以下的罚款，对负有责任的主管人员和其他直接责任人员依法给予处分：</w:t>
            </w:r>
            <w:r>
              <w:rPr>
                <w:rFonts w:ascii="仿宋" w:eastAsia="仿宋" w:hAnsi="仿宋" w:cs="仿宋" w:hint="eastAsia"/>
                <w:kern w:val="0"/>
                <w:sz w:val="24"/>
                <w:lang/>
              </w:rPr>
              <w:br/>
            </w:r>
            <w:r>
              <w:rPr>
                <w:rFonts w:ascii="仿宋" w:eastAsia="仿宋" w:hAnsi="仿宋" w:cs="仿宋" w:hint="eastAsia"/>
                <w:kern w:val="0"/>
                <w:sz w:val="24"/>
                <w:lang/>
              </w:rPr>
              <w:t>（六）未建立科室和医师临床用</w:t>
            </w:r>
            <w:proofErr w:type="gramStart"/>
            <w:r>
              <w:rPr>
                <w:rFonts w:ascii="仿宋" w:eastAsia="仿宋" w:hAnsi="仿宋" w:cs="仿宋" w:hint="eastAsia"/>
                <w:kern w:val="0"/>
                <w:sz w:val="24"/>
                <w:lang/>
              </w:rPr>
              <w:t>血评价</w:t>
            </w:r>
            <w:proofErr w:type="gramEnd"/>
            <w:r>
              <w:rPr>
                <w:rFonts w:ascii="仿宋" w:eastAsia="仿宋" w:hAnsi="仿宋" w:cs="仿宋" w:hint="eastAsia"/>
                <w:kern w:val="0"/>
                <w:sz w:val="24"/>
                <w:lang/>
              </w:rPr>
              <w:t>及公示制度的；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rPr>
                <w:rFonts w:ascii="仿宋" w:eastAsia="仿宋" w:hAnsi="仿宋" w:cs="仿宋"/>
                <w:sz w:val="24"/>
              </w:rPr>
            </w:pPr>
          </w:p>
        </w:tc>
      </w:tr>
      <w:tr w:rsidR="00922238">
        <w:trPr>
          <w:trHeight w:val="1750"/>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lastRenderedPageBreak/>
              <w:t>17</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left"/>
              <w:rPr>
                <w:rFonts w:ascii="仿宋" w:eastAsia="仿宋" w:hAnsi="仿宋" w:cs="仿宋"/>
                <w:sz w:val="24"/>
              </w:rPr>
            </w:pPr>
            <w:r>
              <w:rPr>
                <w:rFonts w:ascii="仿宋" w:eastAsia="仿宋" w:hAnsi="仿宋" w:cs="仿宋" w:hint="eastAsia"/>
                <w:kern w:val="0"/>
                <w:sz w:val="24"/>
                <w:lang/>
              </w:rPr>
              <w:t>未建立职业病诊断管理制度；</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left"/>
              <w:rPr>
                <w:rFonts w:ascii="仿宋" w:eastAsia="仿宋" w:hAnsi="仿宋" w:cs="仿宋"/>
                <w:sz w:val="24"/>
              </w:rPr>
            </w:pPr>
            <w:r>
              <w:rPr>
                <w:rFonts w:ascii="仿宋" w:eastAsia="仿宋" w:hAnsi="仿宋" w:cs="仿宋" w:hint="eastAsia"/>
                <w:kern w:val="0"/>
                <w:sz w:val="24"/>
                <w:lang/>
              </w:rPr>
              <w:t>《职业病诊断与鉴定管理办法》第五十七条</w:t>
            </w:r>
            <w:r>
              <w:rPr>
                <w:rFonts w:ascii="仿宋" w:eastAsia="仿宋" w:hAnsi="仿宋" w:cs="仿宋" w:hint="eastAsia"/>
                <w:kern w:val="0"/>
                <w:sz w:val="24"/>
                <w:lang/>
              </w:rPr>
              <w:t xml:space="preserve"> </w:t>
            </w:r>
            <w:r>
              <w:rPr>
                <w:rFonts w:ascii="仿宋" w:eastAsia="仿宋" w:hAnsi="仿宋" w:cs="仿宋" w:hint="eastAsia"/>
                <w:kern w:val="0"/>
                <w:sz w:val="24"/>
                <w:lang/>
              </w:rPr>
              <w:t>职业病诊断机构违反本办法规定，有下列情形之一的，由县级以上地方卫生健康主管部门责令限期改正；逾期不改的，给予警告，并可以根据情节轻重处以三万元以下罚款：</w:t>
            </w:r>
            <w:r>
              <w:rPr>
                <w:rFonts w:ascii="仿宋" w:eastAsia="仿宋" w:hAnsi="仿宋" w:cs="仿宋" w:hint="eastAsia"/>
                <w:kern w:val="0"/>
                <w:sz w:val="24"/>
                <w:lang/>
              </w:rPr>
              <w:br/>
            </w:r>
            <w:r>
              <w:rPr>
                <w:rFonts w:ascii="仿宋" w:eastAsia="仿宋" w:hAnsi="仿宋" w:cs="仿宋" w:hint="eastAsia"/>
                <w:kern w:val="0"/>
                <w:sz w:val="24"/>
                <w:lang/>
              </w:rPr>
              <w:t>（一）未建立职业病诊断管理制度的；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lef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jc w:val="left"/>
              <w:rPr>
                <w:rFonts w:ascii="仿宋" w:eastAsia="仿宋" w:hAnsi="仿宋" w:cs="仿宋"/>
                <w:sz w:val="24"/>
              </w:rPr>
            </w:pPr>
          </w:p>
        </w:tc>
      </w:tr>
      <w:tr w:rsidR="00922238">
        <w:trPr>
          <w:trHeight w:val="1960"/>
          <w:tblCellSpacing w:w="0" w:type="dxa"/>
          <w:jc w:val="center"/>
        </w:trPr>
        <w:tc>
          <w:tcPr>
            <w:tcW w:w="0" w:type="auto"/>
            <w:tcBorders>
              <w:bottom w:val="single" w:sz="6" w:space="0" w:color="AFAFAF"/>
              <w:right w:val="single" w:sz="6" w:space="0" w:color="AFAFAF"/>
            </w:tcBorders>
            <w:shd w:val="clear" w:color="auto" w:fill="auto"/>
            <w:vAlign w:val="center"/>
          </w:tcPr>
          <w:p w:rsidR="00922238" w:rsidRDefault="00FE61FC">
            <w:pPr>
              <w:widowControl/>
              <w:spacing w:line="300" w:lineRule="atLeast"/>
              <w:jc w:val="center"/>
              <w:rPr>
                <w:rFonts w:ascii="仿宋" w:eastAsia="仿宋" w:hAnsi="仿宋" w:cs="仿宋"/>
                <w:sz w:val="24"/>
              </w:rPr>
            </w:pPr>
            <w:r>
              <w:rPr>
                <w:rFonts w:ascii="仿宋" w:eastAsia="仿宋" w:hAnsi="仿宋" w:cs="仿宋" w:hint="eastAsia"/>
                <w:kern w:val="0"/>
                <w:sz w:val="24"/>
                <w:lang/>
              </w:rPr>
              <w:t>18</w:t>
            </w:r>
          </w:p>
        </w:tc>
        <w:tc>
          <w:tcPr>
            <w:tcW w:w="2698"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left"/>
              <w:rPr>
                <w:rFonts w:ascii="仿宋" w:eastAsia="仿宋" w:hAnsi="仿宋" w:cs="仿宋"/>
                <w:sz w:val="24"/>
              </w:rPr>
            </w:pPr>
            <w:r>
              <w:rPr>
                <w:rFonts w:ascii="仿宋" w:eastAsia="仿宋" w:hAnsi="仿宋" w:cs="仿宋" w:hint="eastAsia"/>
                <w:kern w:val="0"/>
                <w:sz w:val="24"/>
                <w:lang/>
              </w:rPr>
              <w:br/>
            </w:r>
            <w:r>
              <w:rPr>
                <w:rFonts w:ascii="仿宋" w:eastAsia="仿宋" w:hAnsi="仿宋" w:cs="仿宋" w:hint="eastAsia"/>
                <w:kern w:val="0"/>
                <w:sz w:val="24"/>
                <w:lang/>
              </w:rPr>
              <w:t>未按照规定向劳动者公开职业病诊断程序；</w:t>
            </w:r>
          </w:p>
        </w:tc>
        <w:tc>
          <w:tcPr>
            <w:tcW w:w="7527"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left"/>
              <w:rPr>
                <w:rFonts w:ascii="仿宋" w:eastAsia="仿宋" w:hAnsi="仿宋" w:cs="仿宋"/>
                <w:sz w:val="24"/>
              </w:rPr>
            </w:pPr>
            <w:r>
              <w:rPr>
                <w:rFonts w:ascii="仿宋" w:eastAsia="仿宋" w:hAnsi="仿宋" w:cs="仿宋" w:hint="eastAsia"/>
                <w:kern w:val="0"/>
                <w:sz w:val="24"/>
                <w:lang/>
              </w:rPr>
              <w:t>《职业病诊断与鉴定管理办法》第五十七条</w:t>
            </w:r>
            <w:r>
              <w:rPr>
                <w:rFonts w:ascii="仿宋" w:eastAsia="仿宋" w:hAnsi="仿宋" w:cs="仿宋" w:hint="eastAsia"/>
                <w:kern w:val="0"/>
                <w:sz w:val="24"/>
                <w:lang/>
              </w:rPr>
              <w:t xml:space="preserve"> </w:t>
            </w:r>
            <w:r>
              <w:rPr>
                <w:rFonts w:ascii="仿宋" w:eastAsia="仿宋" w:hAnsi="仿宋" w:cs="仿宋" w:hint="eastAsia"/>
                <w:kern w:val="0"/>
                <w:sz w:val="24"/>
                <w:lang/>
              </w:rPr>
              <w:t>职业病诊断机构违反本办法规定，有下列情形之一的，由县级以上地方卫生健康主管部门责令限期改正；逾期不改的，给予警告，并可以根据情节轻重处以三万元以下罚款：</w:t>
            </w:r>
            <w:r>
              <w:rPr>
                <w:rFonts w:ascii="仿宋" w:eastAsia="仿宋" w:hAnsi="仿宋" w:cs="仿宋" w:hint="eastAsia"/>
                <w:kern w:val="0"/>
                <w:sz w:val="24"/>
                <w:lang/>
              </w:rPr>
              <w:br/>
            </w:r>
            <w:r>
              <w:rPr>
                <w:rFonts w:ascii="仿宋" w:eastAsia="仿宋" w:hAnsi="仿宋" w:cs="仿宋" w:hint="eastAsia"/>
                <w:kern w:val="0"/>
                <w:sz w:val="24"/>
                <w:lang/>
              </w:rPr>
              <w:t>（二）未按照规定向劳动者公开职业病诊断程序的；</w:t>
            </w:r>
          </w:p>
        </w:tc>
        <w:tc>
          <w:tcPr>
            <w:tcW w:w="1723" w:type="dxa"/>
            <w:tcBorders>
              <w:bottom w:val="single" w:sz="6" w:space="0" w:color="AFAFAF"/>
              <w:right w:val="single" w:sz="6" w:space="0" w:color="AFAFAF"/>
            </w:tcBorders>
            <w:shd w:val="clear" w:color="auto" w:fill="auto"/>
            <w:vAlign w:val="center"/>
          </w:tcPr>
          <w:p w:rsidR="00922238" w:rsidRDefault="00FE61FC">
            <w:pPr>
              <w:widowControl/>
              <w:spacing w:line="300" w:lineRule="atLeast"/>
              <w:jc w:val="left"/>
              <w:rPr>
                <w:rFonts w:ascii="仿宋" w:eastAsia="仿宋" w:hAnsi="仿宋" w:cs="仿宋"/>
                <w:sz w:val="24"/>
              </w:rPr>
            </w:pPr>
            <w:r>
              <w:rPr>
                <w:rFonts w:ascii="仿宋" w:eastAsia="仿宋" w:hAnsi="仿宋" w:cs="仿宋" w:hint="eastAsia"/>
                <w:kern w:val="0"/>
                <w:sz w:val="24"/>
                <w:lang/>
              </w:rPr>
              <w:t>当事人在限定期限内改正违法行为，且未造成危害后果的。</w:t>
            </w:r>
          </w:p>
        </w:tc>
        <w:tc>
          <w:tcPr>
            <w:tcW w:w="1128" w:type="dxa"/>
            <w:tcBorders>
              <w:bottom w:val="single" w:sz="6" w:space="0" w:color="AFAFAF"/>
              <w:right w:val="single" w:sz="6" w:space="0" w:color="AFAFAF"/>
            </w:tcBorders>
            <w:shd w:val="clear" w:color="auto" w:fill="auto"/>
            <w:vAlign w:val="center"/>
          </w:tcPr>
          <w:p w:rsidR="00922238" w:rsidRDefault="00922238">
            <w:pPr>
              <w:widowControl/>
              <w:spacing w:line="300" w:lineRule="atLeast"/>
              <w:jc w:val="left"/>
              <w:rPr>
                <w:rFonts w:ascii="仿宋" w:eastAsia="仿宋" w:hAnsi="仿宋" w:cs="仿宋"/>
                <w:sz w:val="24"/>
              </w:rPr>
            </w:pPr>
          </w:p>
        </w:tc>
      </w:tr>
    </w:tbl>
    <w:p w:rsidR="00922238" w:rsidRDefault="00FE61FC">
      <w:r>
        <w:rPr>
          <w:rFonts w:ascii="仿宋" w:eastAsia="仿宋" w:hAnsi="仿宋" w:cs="仿宋" w:hint="eastAsia"/>
          <w:kern w:val="0"/>
          <w:sz w:val="24"/>
          <w:lang/>
        </w:rPr>
        <w:t>注：除上述规定情形外，根据《行政处罚法》的规定，违法行为轻微并及时改正，没有造成危害后果的，不予行政处罚；初次违法且危害后果轻微并及时改正的，可以不予行政处罚。</w:t>
      </w:r>
      <w:bookmarkStart w:id="0" w:name="_GoBack"/>
      <w:bookmarkEnd w:id="0"/>
    </w:p>
    <w:sectPr w:rsidR="00922238" w:rsidSect="009222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F2F" w:rsidRDefault="00920F2F" w:rsidP="00920F2F">
      <w:r>
        <w:separator/>
      </w:r>
    </w:p>
  </w:endnote>
  <w:endnote w:type="continuationSeparator" w:id="0">
    <w:p w:rsidR="00920F2F" w:rsidRDefault="00920F2F" w:rsidP="00920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F2F" w:rsidRDefault="00920F2F" w:rsidP="00920F2F">
      <w:r>
        <w:separator/>
      </w:r>
    </w:p>
  </w:footnote>
  <w:footnote w:type="continuationSeparator" w:id="0">
    <w:p w:rsidR="00920F2F" w:rsidRDefault="00920F2F" w:rsidP="00920F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gwMTg2M2ViZDZjNTJhYmNjZjYzMmIyMWQ0OGMzOTgifQ=="/>
  </w:docVars>
  <w:rsids>
    <w:rsidRoot w:val="00922238"/>
    <w:rsid w:val="00920F2F"/>
    <w:rsid w:val="00922238"/>
    <w:rsid w:val="00FE61FC"/>
    <w:rsid w:val="0D2D7F0D"/>
    <w:rsid w:val="2CAF5ACE"/>
    <w:rsid w:val="77DF0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23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22238"/>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rsid w:val="0092223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2238"/>
    <w:pPr>
      <w:spacing w:beforeAutospacing="1" w:afterAutospacing="1"/>
      <w:jc w:val="left"/>
    </w:pPr>
    <w:rPr>
      <w:rFonts w:cs="Times New Roman"/>
      <w:kern w:val="0"/>
      <w:sz w:val="24"/>
    </w:rPr>
  </w:style>
  <w:style w:type="character" w:styleId="a4">
    <w:name w:val="Strong"/>
    <w:basedOn w:val="a0"/>
    <w:qFormat/>
    <w:rsid w:val="00922238"/>
    <w:rPr>
      <w:b/>
    </w:rPr>
  </w:style>
  <w:style w:type="character" w:styleId="a5">
    <w:name w:val="Emphasis"/>
    <w:basedOn w:val="a0"/>
    <w:qFormat/>
    <w:rsid w:val="00922238"/>
    <w:rPr>
      <w:i/>
    </w:rPr>
  </w:style>
  <w:style w:type="character" w:styleId="a6">
    <w:name w:val="Hyperlink"/>
    <w:basedOn w:val="a0"/>
    <w:rsid w:val="00922238"/>
    <w:rPr>
      <w:color w:val="0000FF"/>
      <w:u w:val="single"/>
    </w:rPr>
  </w:style>
  <w:style w:type="paragraph" w:styleId="a7">
    <w:name w:val="header"/>
    <w:basedOn w:val="a"/>
    <w:link w:val="Char"/>
    <w:rsid w:val="00920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20F2F"/>
    <w:rPr>
      <w:rFonts w:asciiTheme="minorHAnsi" w:eastAsiaTheme="minorEastAsia" w:hAnsiTheme="minorHAnsi" w:cstheme="minorBidi"/>
      <w:kern w:val="2"/>
      <w:sz w:val="18"/>
      <w:szCs w:val="18"/>
    </w:rPr>
  </w:style>
  <w:style w:type="paragraph" w:styleId="a8">
    <w:name w:val="footer"/>
    <w:basedOn w:val="a"/>
    <w:link w:val="Char0"/>
    <w:rsid w:val="00920F2F"/>
    <w:pPr>
      <w:tabs>
        <w:tab w:val="center" w:pos="4153"/>
        <w:tab w:val="right" w:pos="8306"/>
      </w:tabs>
      <w:snapToGrid w:val="0"/>
      <w:jc w:val="left"/>
    </w:pPr>
    <w:rPr>
      <w:sz w:val="18"/>
      <w:szCs w:val="18"/>
    </w:rPr>
  </w:style>
  <w:style w:type="character" w:customStyle="1" w:styleId="Char0">
    <w:name w:val="页脚 Char"/>
    <w:basedOn w:val="a0"/>
    <w:link w:val="a8"/>
    <w:rsid w:val="00920F2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3969</Words>
  <Characters>162</Characters>
  <Application>Microsoft Office Word</Application>
  <DocSecurity>0</DocSecurity>
  <Lines>1</Lines>
  <Paragraphs>8</Paragraphs>
  <ScaleCrop>false</ScaleCrop>
  <Company>HP</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cp:lastPrinted>2023-07-11T03:48:00Z</cp:lastPrinted>
  <dcterms:created xsi:type="dcterms:W3CDTF">2023-07-11T03:19:00Z</dcterms:created>
  <dcterms:modified xsi:type="dcterms:W3CDTF">2023-08-10T04:26:00Z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4ED53B44A0594595BD6E097F998083E1_12</vt:lpwstr>
  </property>
</Properties>
</file>