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12440" w:type="dxa"/>
        <w:tblInd w:w="96" w:type="dxa"/>
        <w:tblLayout w:type="fixed"/>
        <w:tblCellMar>
          <w:top w:w="0" w:type="dxa"/>
          <w:left w:w="108" w:type="dxa"/>
          <w:bottom w:w="0" w:type="dxa"/>
          <w:right w:w="108" w:type="dxa"/>
        </w:tblCellMar>
      </w:tblPr>
      <w:tblGrid>
        <w:gridCol w:w="540"/>
        <w:gridCol w:w="1480"/>
        <w:gridCol w:w="960"/>
        <w:gridCol w:w="860"/>
        <w:gridCol w:w="720"/>
        <w:gridCol w:w="4340"/>
        <w:gridCol w:w="2000"/>
        <w:gridCol w:w="1540"/>
      </w:tblGrid>
      <w:tr>
        <w:tblPrEx>
          <w:tblLayout w:type="fixed"/>
          <w:tblCellMar>
            <w:top w:w="0" w:type="dxa"/>
            <w:left w:w="108" w:type="dxa"/>
            <w:bottom w:w="0" w:type="dxa"/>
            <w:right w:w="108" w:type="dxa"/>
          </w:tblCellMar>
        </w:tblPrEx>
        <w:trPr>
          <w:trHeight w:val="516" w:hRule="atLeast"/>
        </w:trPr>
        <w:tc>
          <w:tcPr>
            <w:tcW w:w="12440" w:type="dxa"/>
            <w:gridSpan w:val="8"/>
            <w:tcBorders>
              <w:top w:val="nil"/>
              <w:left w:val="nil"/>
              <w:bottom w:val="nil"/>
              <w:right w:val="nil"/>
            </w:tcBorders>
            <w:shd w:val="clear" w:color="auto" w:fill="auto"/>
            <w:vAlign w:val="bottom"/>
          </w:tcPr>
          <w:p>
            <w:pPr>
              <w:adjustRightInd/>
              <w:snapToGrid/>
              <w:spacing w:after="0"/>
              <w:jc w:val="center"/>
              <w:rPr>
                <w:rFonts w:ascii="宋体" w:hAnsi="宋体" w:eastAsia="宋体" w:cs="宋体"/>
                <w:b/>
                <w:bCs/>
                <w:sz w:val="40"/>
                <w:szCs w:val="40"/>
              </w:rPr>
            </w:pPr>
            <w:r>
              <w:rPr>
                <w:rFonts w:hint="eastAsia" w:ascii="宋体" w:hAnsi="宋体" w:eastAsia="宋体" w:cs="宋体"/>
                <w:b/>
                <w:bCs/>
                <w:sz w:val="40"/>
                <w:szCs w:val="40"/>
              </w:rPr>
              <w:t>2021年尉氏县公安局行政相对人</w:t>
            </w:r>
            <w:r>
              <w:rPr>
                <w:rFonts w:hint="eastAsia" w:ascii="宋体" w:hAnsi="宋体" w:eastAsia="宋体" w:cs="宋体"/>
                <w:b/>
                <w:bCs/>
                <w:sz w:val="40"/>
                <w:szCs w:val="40"/>
                <w:lang w:val="en-US" w:eastAsia="zh-CN"/>
              </w:rPr>
              <w:t>违法</w:t>
            </w:r>
            <w:r>
              <w:rPr>
                <w:rFonts w:hint="eastAsia" w:ascii="宋体" w:hAnsi="宋体" w:eastAsia="宋体" w:cs="宋体"/>
                <w:b/>
                <w:bCs/>
                <w:sz w:val="40"/>
                <w:szCs w:val="40"/>
              </w:rPr>
              <w:t>风险点</w:t>
            </w:r>
            <w:r>
              <w:rPr>
                <w:rFonts w:hint="eastAsia" w:ascii="宋体" w:hAnsi="宋体" w:eastAsia="宋体" w:cs="宋体"/>
                <w:b/>
                <w:bCs/>
                <w:sz w:val="40"/>
                <w:szCs w:val="40"/>
                <w:lang w:val="en-US" w:eastAsia="zh-CN"/>
              </w:rPr>
              <w:t>及</w:t>
            </w:r>
            <w:r>
              <w:rPr>
                <w:rFonts w:hint="eastAsia" w:ascii="宋体" w:hAnsi="宋体" w:eastAsia="宋体" w:cs="宋体"/>
                <w:b/>
                <w:bCs/>
                <w:sz w:val="40"/>
                <w:szCs w:val="40"/>
              </w:rPr>
              <w:t>防控措施</w:t>
            </w:r>
            <w:r>
              <w:rPr>
                <w:rFonts w:hint="eastAsia" w:ascii="宋体" w:hAnsi="宋体" w:eastAsia="宋体" w:cs="宋体"/>
                <w:b/>
                <w:bCs/>
                <w:sz w:val="32"/>
                <w:szCs w:val="32"/>
              </w:rPr>
              <w:t>（征求意见稿</w:t>
            </w:r>
            <w:r>
              <w:rPr>
                <w:rFonts w:ascii="宋体" w:hAnsi="宋体" w:eastAsia="宋体" w:cs="宋体"/>
                <w:b/>
                <w:bCs/>
                <w:sz w:val="32"/>
                <w:szCs w:val="32"/>
              </w:rPr>
              <w:t>）</w:t>
            </w:r>
          </w:p>
        </w:tc>
      </w:tr>
      <w:tr>
        <w:tblPrEx>
          <w:tblLayout w:type="fixed"/>
          <w:tblCellMar>
            <w:top w:w="0" w:type="dxa"/>
            <w:left w:w="108" w:type="dxa"/>
            <w:bottom w:w="0" w:type="dxa"/>
            <w:right w:w="108" w:type="dxa"/>
          </w:tblCellMar>
        </w:tblPrEx>
        <w:trPr>
          <w:trHeight w:val="408" w:hRule="atLeast"/>
        </w:trPr>
        <w:tc>
          <w:tcPr>
            <w:tcW w:w="12440" w:type="dxa"/>
            <w:gridSpan w:val="8"/>
            <w:tcBorders>
              <w:top w:val="nil"/>
              <w:left w:val="nil"/>
              <w:bottom w:val="single" w:color="auto" w:sz="4" w:space="0"/>
              <w:right w:val="nil"/>
            </w:tcBorders>
            <w:shd w:val="clear" w:color="auto" w:fill="auto"/>
            <w:vAlign w:val="bottom"/>
          </w:tcPr>
          <w:p>
            <w:pPr>
              <w:adjustRightInd/>
              <w:snapToGrid/>
              <w:spacing w:after="0"/>
              <w:jc w:val="left"/>
              <w:rPr>
                <w:rFonts w:ascii="宋体" w:hAnsi="宋体" w:eastAsia="宋体" w:cs="宋体"/>
                <w:b/>
                <w:bCs/>
                <w:sz w:val="32"/>
                <w:szCs w:val="32"/>
              </w:rPr>
            </w:pPr>
            <w:r>
              <w:rPr>
                <w:rFonts w:hint="eastAsia" w:ascii="宋体" w:hAnsi="宋体" w:eastAsia="宋体" w:cs="宋体"/>
                <w:b/>
                <w:bCs/>
                <w:sz w:val="32"/>
                <w:szCs w:val="32"/>
              </w:rPr>
              <w:t xml:space="preserve">单位： 尉氏县公安局                                                                   </w:t>
            </w:r>
          </w:p>
        </w:tc>
      </w:tr>
      <w:tr>
        <w:tblPrEx>
          <w:tblLayout w:type="fixed"/>
          <w:tblCellMar>
            <w:top w:w="0" w:type="dxa"/>
            <w:left w:w="108" w:type="dxa"/>
            <w:bottom w:w="0" w:type="dxa"/>
            <w:right w:w="108" w:type="dxa"/>
          </w:tblCellMar>
        </w:tblPrEx>
        <w:trPr>
          <w:trHeight w:val="1065" w:hRule="atLeast"/>
        </w:trPr>
        <w:tc>
          <w:tcPr>
            <w:tcW w:w="540" w:type="dxa"/>
            <w:tcBorders>
              <w:top w:val="nil"/>
              <w:left w:val="single" w:color="auto" w:sz="4" w:space="0"/>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b/>
                <w:bCs/>
                <w:sz w:val="24"/>
                <w:szCs w:val="24"/>
              </w:rPr>
            </w:pPr>
            <w:r>
              <w:rPr>
                <w:rFonts w:hint="eastAsia" w:ascii="宋体" w:hAnsi="宋体" w:eastAsia="宋体" w:cs="宋体"/>
                <w:b/>
                <w:bCs/>
                <w:sz w:val="24"/>
                <w:szCs w:val="24"/>
              </w:rPr>
              <w:t>序号</w:t>
            </w:r>
          </w:p>
        </w:tc>
        <w:tc>
          <w:tcPr>
            <w:tcW w:w="1480" w:type="dxa"/>
            <w:tcBorders>
              <w:top w:val="single" w:color="auto" w:sz="4" w:space="0"/>
              <w:left w:val="nil"/>
              <w:bottom w:val="single" w:color="auto" w:sz="4" w:space="0"/>
              <w:right w:val="single" w:color="000000" w:sz="4" w:space="0"/>
            </w:tcBorders>
            <w:shd w:val="clear" w:color="auto" w:fill="auto"/>
            <w:vAlign w:val="center"/>
          </w:tcPr>
          <w:p>
            <w:pPr>
              <w:adjustRightInd/>
              <w:snapToGrid/>
              <w:spacing w:after="0"/>
              <w:jc w:val="center"/>
              <w:rPr>
                <w:rFonts w:ascii="宋体" w:hAnsi="宋体" w:eastAsia="宋体" w:cs="宋体"/>
                <w:b/>
                <w:bCs/>
                <w:sz w:val="24"/>
                <w:szCs w:val="24"/>
              </w:rPr>
            </w:pPr>
            <w:r>
              <w:rPr>
                <w:rFonts w:hint="eastAsia" w:ascii="宋体" w:hAnsi="宋体" w:eastAsia="宋体" w:cs="宋体"/>
                <w:b/>
                <w:bCs/>
                <w:sz w:val="24"/>
                <w:szCs w:val="24"/>
              </w:rPr>
              <w:t>风险点</w:t>
            </w:r>
          </w:p>
        </w:tc>
        <w:tc>
          <w:tcPr>
            <w:tcW w:w="9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b/>
                <w:bCs/>
                <w:sz w:val="24"/>
                <w:szCs w:val="24"/>
              </w:rPr>
            </w:pPr>
            <w:r>
              <w:rPr>
                <w:rFonts w:hint="eastAsia" w:ascii="宋体" w:hAnsi="宋体" w:eastAsia="宋体" w:cs="宋体"/>
                <w:b/>
                <w:bCs/>
                <w:sz w:val="24"/>
                <w:szCs w:val="24"/>
              </w:rPr>
              <w:t>行政相对人</w:t>
            </w:r>
          </w:p>
        </w:tc>
        <w:tc>
          <w:tcPr>
            <w:tcW w:w="8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b/>
                <w:bCs/>
                <w:sz w:val="24"/>
                <w:szCs w:val="24"/>
              </w:rPr>
            </w:pPr>
            <w:r>
              <w:rPr>
                <w:rFonts w:hint="eastAsia" w:ascii="宋体" w:hAnsi="宋体" w:eastAsia="宋体" w:cs="宋体"/>
                <w:b/>
                <w:bCs/>
                <w:sz w:val="24"/>
                <w:szCs w:val="24"/>
              </w:rPr>
              <w:t>责任单位</w:t>
            </w:r>
          </w:p>
        </w:tc>
        <w:tc>
          <w:tcPr>
            <w:tcW w:w="72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b/>
                <w:bCs/>
                <w:sz w:val="24"/>
                <w:szCs w:val="24"/>
              </w:rPr>
            </w:pPr>
            <w:r>
              <w:rPr>
                <w:rFonts w:hint="eastAsia" w:ascii="宋体" w:hAnsi="宋体" w:eastAsia="宋体" w:cs="宋体"/>
                <w:b/>
                <w:bCs/>
                <w:sz w:val="24"/>
                <w:szCs w:val="24"/>
              </w:rPr>
              <w:t>风险等级</w:t>
            </w:r>
          </w:p>
        </w:tc>
        <w:tc>
          <w:tcPr>
            <w:tcW w:w="434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b/>
                <w:bCs/>
                <w:color w:val="000000"/>
                <w:sz w:val="24"/>
                <w:szCs w:val="24"/>
              </w:rPr>
            </w:pPr>
            <w:r>
              <w:rPr>
                <w:rFonts w:hint="eastAsia" w:ascii="宋体" w:hAnsi="宋体" w:eastAsia="宋体" w:cs="宋体"/>
                <w:b/>
                <w:bCs/>
                <w:color w:val="000000"/>
                <w:sz w:val="24"/>
                <w:szCs w:val="24"/>
              </w:rPr>
              <w:t>法律依据</w:t>
            </w:r>
          </w:p>
        </w:tc>
        <w:tc>
          <w:tcPr>
            <w:tcW w:w="200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b/>
                <w:bCs/>
                <w:sz w:val="24"/>
                <w:szCs w:val="24"/>
              </w:rPr>
            </w:pPr>
            <w:r>
              <w:rPr>
                <w:rFonts w:hint="eastAsia" w:ascii="宋体" w:hAnsi="宋体" w:eastAsia="宋体" w:cs="宋体"/>
                <w:b/>
                <w:bCs/>
                <w:sz w:val="24"/>
                <w:szCs w:val="24"/>
              </w:rPr>
              <w:t>法律后果</w:t>
            </w:r>
          </w:p>
        </w:tc>
        <w:tc>
          <w:tcPr>
            <w:tcW w:w="154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b/>
                <w:bCs/>
                <w:sz w:val="24"/>
                <w:szCs w:val="24"/>
              </w:rPr>
            </w:pPr>
            <w:r>
              <w:rPr>
                <w:rFonts w:hint="eastAsia" w:ascii="宋体" w:hAnsi="宋体" w:eastAsia="宋体" w:cs="宋体"/>
                <w:b/>
                <w:bCs/>
                <w:sz w:val="24"/>
                <w:szCs w:val="24"/>
              </w:rPr>
              <w:t>防控措施</w:t>
            </w:r>
          </w:p>
        </w:tc>
      </w:tr>
      <w:tr>
        <w:tblPrEx>
          <w:tblLayout w:type="fixed"/>
          <w:tblCellMar>
            <w:top w:w="0" w:type="dxa"/>
            <w:left w:w="108" w:type="dxa"/>
            <w:bottom w:w="0" w:type="dxa"/>
            <w:right w:w="108" w:type="dxa"/>
          </w:tblCellMar>
        </w:tblPrEx>
        <w:trPr>
          <w:trHeight w:val="6165" w:hRule="atLeast"/>
        </w:trPr>
        <w:tc>
          <w:tcPr>
            <w:tcW w:w="540" w:type="dxa"/>
            <w:tcBorders>
              <w:top w:val="nil"/>
              <w:left w:val="single" w:color="auto" w:sz="4" w:space="0"/>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1</w:t>
            </w:r>
          </w:p>
        </w:tc>
        <w:tc>
          <w:tcPr>
            <w:tcW w:w="1480" w:type="dxa"/>
            <w:tcBorders>
              <w:top w:val="single" w:color="auto" w:sz="4" w:space="0"/>
              <w:left w:val="nil"/>
              <w:bottom w:val="single" w:color="auto" w:sz="4" w:space="0"/>
              <w:right w:val="single" w:color="000000"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网络运营者未按照网络安全等级保护制度的要求履行安全保护义务</w:t>
            </w:r>
          </w:p>
        </w:tc>
        <w:tc>
          <w:tcPr>
            <w:tcW w:w="9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网络运营者</w:t>
            </w:r>
          </w:p>
        </w:tc>
        <w:tc>
          <w:tcPr>
            <w:tcW w:w="8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网警大队、各派出所</w:t>
            </w:r>
          </w:p>
        </w:tc>
        <w:tc>
          <w:tcPr>
            <w:tcW w:w="72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低</w:t>
            </w:r>
          </w:p>
        </w:tc>
        <w:tc>
          <w:tcPr>
            <w:tcW w:w="43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color w:val="FF0000"/>
                <w:sz w:val="20"/>
                <w:szCs w:val="20"/>
              </w:rPr>
            </w:pPr>
            <w:r>
              <w:rPr>
                <w:rFonts w:hint="eastAsia" w:ascii="宋体" w:hAnsi="宋体" w:eastAsia="宋体" w:cs="宋体"/>
                <w:b/>
                <w:bCs/>
                <w:color w:val="000000"/>
                <w:sz w:val="20"/>
                <w:szCs w:val="20"/>
              </w:rPr>
              <w:t xml:space="preserve">    《中华人民共和国网络安全法》</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第二十一条 国家实行网络安全等级保护制度。网络运营者应当按照网络安全等级保护制度的要求，履行下列安全保护义务，保障网络免受干扰、破坏或者未经授权的访问，防止网络数据泄露或者被窃取、篡改：</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（一）制定内部安全管理制度和操作规程，确定网络安全负责人，落实网络安全保护责任；</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（二）采取防范计算机病毒和网络攻击、网络侵入等危害网络安全行为的技术措施；</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（三）采取监测、记录网络运行状态、网络安全事件的技术措施，并按照规定留存相关的网络日志不少于六个月；</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（四）采取数据分类、重要数据备份和加密等措施；</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第二十五条 网络运营者应当制定网络安全事件应急预案，及时处置系统漏洞、计算机病毒、网络攻击、网络侵入等安全风险；在发生危害网络安全的事件时，立即启动应急预案，采取相应的补救措施，并按照规定向有关主管部门报告。</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第五十九条 网络运营者不履行本法第二十一条、第二十五条规定的网络安全保护义务的，由有关主管部门责令改正，给予警告；拒不改正或者导致危害网络安全等后果的，处一万元以上十万元以下罚款，对直接负责的主管人员处五千元以上五万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关键信息基础设施的运营者不履行本法第三十三条、第三十四条、第三十六条、第三十八条规定的网络安全保护义务的，由有关主管部门责令改正，给予警告；拒不改正或者导致危害网络安全等后果的，处十万元以上一百万元以下罚款，对直接负责的主管人员处一万元以上十万元以下罚款。</w:t>
            </w:r>
            <w:r>
              <w:rPr>
                <w:rFonts w:hint="eastAsia" w:ascii="宋体" w:hAnsi="宋体" w:eastAsia="宋体" w:cs="宋体"/>
                <w:color w:val="000000"/>
                <w:sz w:val="20"/>
                <w:szCs w:val="20"/>
              </w:rPr>
              <w:br w:type="textWrapping"/>
            </w:r>
            <w:r>
              <w:rPr>
                <w:rFonts w:hint="eastAsia" w:ascii="宋体" w:hAnsi="宋体" w:eastAsia="宋体" w:cs="宋体"/>
                <w:b/>
                <w:bCs/>
                <w:color w:val="000000"/>
                <w:sz w:val="20"/>
                <w:szCs w:val="20"/>
              </w:rPr>
              <w:t xml:space="preserve">    《中华人民共和国计算机信息系统安全保护条例》</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第二十条　违反本条例的规定，有下列行为之一的，由公安机关处以警告或者停机整顿：</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（一）违反计算机信息系统安全等级保护制度，危害计算机信息系统安全的；</w:t>
            </w:r>
          </w:p>
        </w:tc>
        <w:tc>
          <w:tcPr>
            <w:tcW w:w="200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责令改正，给予警告；行政罚款；停机整顿</w:t>
            </w:r>
          </w:p>
        </w:tc>
        <w:tc>
          <w:tcPr>
            <w:tcW w:w="154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一、建议完善立法；二、增强执法力量；三、加强法律宣传，增强网络运营者的安全保护意识。</w:t>
            </w:r>
          </w:p>
        </w:tc>
      </w:tr>
      <w:tr>
        <w:tblPrEx>
          <w:tblLayout w:type="fixed"/>
          <w:tblCellMar>
            <w:top w:w="0" w:type="dxa"/>
            <w:left w:w="108" w:type="dxa"/>
            <w:bottom w:w="0" w:type="dxa"/>
            <w:right w:w="108" w:type="dxa"/>
          </w:tblCellMar>
        </w:tblPrEx>
        <w:trPr>
          <w:trHeight w:val="1590" w:hRule="atLeast"/>
        </w:trPr>
        <w:tc>
          <w:tcPr>
            <w:tcW w:w="540" w:type="dxa"/>
            <w:tcBorders>
              <w:top w:val="nil"/>
              <w:left w:val="single" w:color="auto" w:sz="4" w:space="0"/>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2</w:t>
            </w:r>
          </w:p>
        </w:tc>
        <w:tc>
          <w:tcPr>
            <w:tcW w:w="1480" w:type="dxa"/>
            <w:tcBorders>
              <w:top w:val="single" w:color="auto" w:sz="4" w:space="0"/>
              <w:left w:val="nil"/>
              <w:bottom w:val="single" w:color="auto" w:sz="4" w:space="0"/>
              <w:right w:val="single" w:color="000000"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赌博</w:t>
            </w:r>
          </w:p>
        </w:tc>
        <w:tc>
          <w:tcPr>
            <w:tcW w:w="9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公民</w:t>
            </w:r>
          </w:p>
        </w:tc>
        <w:tc>
          <w:tcPr>
            <w:tcW w:w="8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治安大队、各派出所</w:t>
            </w:r>
          </w:p>
        </w:tc>
        <w:tc>
          <w:tcPr>
            <w:tcW w:w="72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高</w:t>
            </w:r>
          </w:p>
        </w:tc>
        <w:tc>
          <w:tcPr>
            <w:tcW w:w="43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color w:val="FF0000"/>
                <w:sz w:val="20"/>
                <w:szCs w:val="20"/>
              </w:rPr>
            </w:pPr>
            <w:r>
              <w:rPr>
                <w:rFonts w:hint="eastAsia" w:ascii="宋体" w:hAnsi="宋体" w:eastAsia="宋体" w:cs="宋体"/>
                <w:b/>
                <w:bCs/>
                <w:color w:val="000000"/>
                <w:sz w:val="20"/>
                <w:szCs w:val="20"/>
              </w:rPr>
              <w:t xml:space="preserve">    《中华人民共和国治安管理处罚法》</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第七十条 以营利为目的，为赌博提供条件的，或者参与赌博赌资较大的，处五日以下拘留或者五百元以下罚款；情节严重的，处十日以上十五日以下拘留，并处五百元以上三千元以下罚款。</w:t>
            </w:r>
          </w:p>
        </w:tc>
        <w:tc>
          <w:tcPr>
            <w:tcW w:w="200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行政罚款、行政拘留</w:t>
            </w:r>
          </w:p>
        </w:tc>
        <w:tc>
          <w:tcPr>
            <w:tcW w:w="154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公布举报制度，加强法律宣传，适时公布典型案例。</w:t>
            </w:r>
          </w:p>
        </w:tc>
      </w:tr>
      <w:tr>
        <w:tblPrEx>
          <w:tblLayout w:type="fixed"/>
          <w:tblCellMar>
            <w:top w:w="0" w:type="dxa"/>
            <w:left w:w="108" w:type="dxa"/>
            <w:bottom w:w="0" w:type="dxa"/>
            <w:right w:w="108" w:type="dxa"/>
          </w:tblCellMar>
        </w:tblPrEx>
        <w:trPr>
          <w:trHeight w:val="8190" w:hRule="atLeast"/>
        </w:trPr>
        <w:tc>
          <w:tcPr>
            <w:tcW w:w="540" w:type="dxa"/>
            <w:tcBorders>
              <w:top w:val="nil"/>
              <w:left w:val="single" w:color="auto" w:sz="4" w:space="0"/>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3</w:t>
            </w:r>
          </w:p>
        </w:tc>
        <w:tc>
          <w:tcPr>
            <w:tcW w:w="1480" w:type="dxa"/>
            <w:tcBorders>
              <w:top w:val="single" w:color="auto" w:sz="4" w:space="0"/>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超载</w:t>
            </w:r>
          </w:p>
        </w:tc>
        <w:tc>
          <w:tcPr>
            <w:tcW w:w="9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机动车驾驶人</w:t>
            </w:r>
          </w:p>
        </w:tc>
        <w:tc>
          <w:tcPr>
            <w:tcW w:w="8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交警大队</w:t>
            </w:r>
          </w:p>
        </w:tc>
        <w:tc>
          <w:tcPr>
            <w:tcW w:w="72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高</w:t>
            </w:r>
          </w:p>
        </w:tc>
        <w:tc>
          <w:tcPr>
            <w:tcW w:w="43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color w:val="FF0000"/>
                <w:sz w:val="20"/>
                <w:szCs w:val="20"/>
              </w:rPr>
            </w:pPr>
            <w:r>
              <w:rPr>
                <w:rFonts w:hint="eastAsia" w:ascii="宋体" w:hAnsi="宋体" w:eastAsia="宋体" w:cs="宋体"/>
                <w:b/>
                <w:bCs/>
                <w:color w:val="000000"/>
                <w:sz w:val="20"/>
                <w:szCs w:val="20"/>
              </w:rPr>
              <w:t xml:space="preserve">   《中华人民共和国道路交通安全法》</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第四十八条 机动车载物应当符合核定的载质量，严禁超载；载物的长、宽、高不得违反装载要求，不得遗洒、飘散载运物。</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第九十二条 公路客运车辆载客超过额定乘员的，处二百元以上五百元以下罚款；超过额定乘员百分之二十或者违反规定载货的，处五百元以上二千元以下罚款。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货运机动车超过核定载质量的，处二百元以上五百元以下罚款；超过核定载质量百分之三十或者违反规定载客的，处五百元以上二千元以下罚款。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有前两款行为的，由公安机关交通管理部门扣留机动车至违法状态消除。</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运输单位的车辆有本条第一款、第二款规定的情形，经处罚不改的，对直接负责的主管人员处二千元以上五千元以下罚款。</w:t>
            </w:r>
            <w:r>
              <w:rPr>
                <w:rFonts w:hint="eastAsia" w:ascii="宋体" w:hAnsi="宋体" w:eastAsia="宋体" w:cs="宋体"/>
                <w:color w:val="000000"/>
                <w:sz w:val="20"/>
                <w:szCs w:val="20"/>
              </w:rPr>
              <w:br w:type="textWrapping"/>
            </w:r>
            <w:r>
              <w:rPr>
                <w:rFonts w:hint="eastAsia" w:ascii="宋体" w:hAnsi="宋体" w:eastAsia="宋体" w:cs="宋体"/>
                <w:b/>
                <w:bCs/>
                <w:color w:val="000000"/>
                <w:sz w:val="20"/>
                <w:szCs w:val="20"/>
              </w:rPr>
              <w:t xml:space="preserve">   《中华人民共和国道路交通安全法实施条例》</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第五十四条　机动车载物不得超过机动车行驶证上核定的载质量，装载长度、宽度不得超出车厢，并应当遵守下列规定：</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（一）重型、中型载货汽车，半挂车载物，高度从地面起不得超过4米，载运集装箱的车辆不得超过4.2米；</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（二）其他载货的机动车载物，高度从地面起不得超过2.5米；</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（三）摩托车载物，高度从地面起不得超过1.5米，长度不得超出车身0.2米。两轮摩托车载物宽度左右各不得超出车把0.15米；三轮摩托车载物宽度不得超过车身。</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w:t>
            </w:r>
            <w:r>
              <w:rPr>
                <w:rFonts w:hint="eastAsia" w:ascii="宋体" w:hAnsi="宋体" w:eastAsia="宋体" w:cs="宋体"/>
                <w:color w:val="000000"/>
                <w:sz w:val="20"/>
                <w:szCs w:val="20"/>
              </w:rPr>
              <w:br w:type="textWrapping"/>
            </w:r>
            <w:r>
              <w:rPr>
                <w:rFonts w:hint="eastAsia" w:ascii="宋体" w:hAnsi="宋体" w:eastAsia="宋体" w:cs="宋体"/>
                <w:b/>
                <w:bCs/>
                <w:color w:val="000000"/>
                <w:sz w:val="20"/>
                <w:szCs w:val="20"/>
              </w:rPr>
              <w:t xml:space="preserve">   《河南省道路交通安全法实施条例》</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第六十五条　货运机动车超过核定载质量或者违反规定载客的，对机动车驾驶人按下列规定处罚：</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（一）超过核定载质量未达百分之三十的，处三百元罚款；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（二）超过核定载质量百分之三十以上未达百分之五十的，处五百元以上一千元以下罚款；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（三）超过核定载质量百分之五十以上的，处一千五百元罚款；                      </w:t>
            </w:r>
            <w:r>
              <w:rPr>
                <w:rFonts w:hint="eastAsia" w:ascii="宋体" w:hAnsi="宋体" w:eastAsia="宋体" w:cs="宋体"/>
                <w:b/>
                <w:bCs/>
                <w:color w:val="000000"/>
                <w:sz w:val="20"/>
                <w:szCs w:val="20"/>
              </w:rPr>
              <w:t>《机动车驾驶证申领和使用规定》</w:t>
            </w:r>
            <w:r>
              <w:rPr>
                <w:rFonts w:hint="eastAsia" w:ascii="宋体" w:hAnsi="宋体" w:eastAsia="宋体" w:cs="宋体"/>
                <w:color w:val="000000"/>
                <w:sz w:val="20"/>
                <w:szCs w:val="20"/>
              </w:rPr>
              <w:t xml:space="preserve">                                                 附件4第三条第（三）项： 机动车驾驶人有下列违法行为之一，一次记3分：                   ......                                                                           （三）驾驶货车载物超过核定载质量未达30%的；                                                                                        </w:t>
            </w:r>
            <w:r>
              <w:rPr>
                <w:rFonts w:hint="eastAsia" w:ascii="宋体" w:hAnsi="宋体" w:eastAsia="宋体" w:cs="宋体"/>
                <w:b/>
                <w:bCs/>
                <w:color w:val="000000"/>
                <w:sz w:val="20"/>
                <w:szCs w:val="20"/>
              </w:rPr>
              <w:t xml:space="preserve">            </w:t>
            </w:r>
          </w:p>
        </w:tc>
        <w:tc>
          <w:tcPr>
            <w:tcW w:w="200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记3分，罚款300元</w:t>
            </w:r>
          </w:p>
        </w:tc>
        <w:tc>
          <w:tcPr>
            <w:tcW w:w="15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sz w:val="20"/>
                <w:szCs w:val="20"/>
              </w:rPr>
            </w:pPr>
            <w:r>
              <w:rPr>
                <w:rFonts w:hint="eastAsia" w:ascii="宋体" w:hAnsi="宋体" w:eastAsia="宋体" w:cs="宋体"/>
                <w:sz w:val="20"/>
                <w:szCs w:val="20"/>
              </w:rPr>
              <w:t>一、将处罚的情况及结果向车辆所在地的交通安全管理部门、所属企业逐一寄送抄告信，要求所在地的交通管理部门以及企业加强管控。二、加强宣传以向驾驶人发放宣传单，播放警示片等形式，使驾驶人提高安全意识。</w:t>
            </w:r>
          </w:p>
        </w:tc>
      </w:tr>
      <w:tr>
        <w:tblPrEx>
          <w:tblLayout w:type="fixed"/>
          <w:tblCellMar>
            <w:top w:w="0" w:type="dxa"/>
            <w:left w:w="108" w:type="dxa"/>
            <w:bottom w:w="0" w:type="dxa"/>
            <w:right w:w="108" w:type="dxa"/>
          </w:tblCellMar>
        </w:tblPrEx>
        <w:trPr>
          <w:trHeight w:val="8190" w:hRule="atLeast"/>
        </w:trPr>
        <w:tc>
          <w:tcPr>
            <w:tcW w:w="540" w:type="dxa"/>
            <w:tcBorders>
              <w:top w:val="nil"/>
              <w:left w:val="single" w:color="auto" w:sz="4" w:space="0"/>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4</w:t>
            </w:r>
          </w:p>
        </w:tc>
        <w:tc>
          <w:tcPr>
            <w:tcW w:w="1480" w:type="dxa"/>
            <w:tcBorders>
              <w:top w:val="single" w:color="auto" w:sz="4" w:space="0"/>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超载30%-50%</w:t>
            </w:r>
          </w:p>
        </w:tc>
        <w:tc>
          <w:tcPr>
            <w:tcW w:w="9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机动车驾驶人</w:t>
            </w:r>
          </w:p>
        </w:tc>
        <w:tc>
          <w:tcPr>
            <w:tcW w:w="8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交警大队</w:t>
            </w:r>
          </w:p>
        </w:tc>
        <w:tc>
          <w:tcPr>
            <w:tcW w:w="72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高</w:t>
            </w:r>
          </w:p>
        </w:tc>
        <w:tc>
          <w:tcPr>
            <w:tcW w:w="43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b/>
                <w:bCs/>
                <w:color w:val="000000"/>
                <w:sz w:val="20"/>
                <w:szCs w:val="20"/>
              </w:rPr>
            </w:pPr>
            <w:r>
              <w:rPr>
                <w:rFonts w:hint="eastAsia" w:ascii="宋体" w:hAnsi="宋体" w:eastAsia="宋体" w:cs="宋体"/>
                <w:b/>
                <w:bCs/>
                <w:color w:val="000000"/>
                <w:sz w:val="20"/>
                <w:szCs w:val="20"/>
              </w:rPr>
              <w:t xml:space="preserve"> 《中华人民共和国道路交通安全法》</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第四十八条 机动车载物应当符合核定的载质量，严禁超载；载物的长、宽、高不得违反装载要求，不得遗洒、飘散载运物。</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第九十二条 公路客运车辆载客超过额定乘员的，处二百元以上五百元以下罚款；超过额定乘员百分之二十或者违反规定载货的，处五百元以上二千元以下罚款。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货运机动车超过核定载质量的，处二百元以上五百元以下罚款；超过核定载质量百分之三十或者违反规定载客的，处五百元以上二千元以下罚款。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有前两款行为的，由公安机关交通管理部门扣留机动车至违法状态消除。</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运输单位的车辆有本条第一款、第二款规定的情形，经处罚不改的，对直接负责的主管人员处二千元以上五千元以下罚款。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w:t>
            </w:r>
            <w:r>
              <w:rPr>
                <w:rFonts w:hint="eastAsia" w:ascii="宋体" w:hAnsi="宋体" w:eastAsia="宋体" w:cs="宋体"/>
                <w:b/>
                <w:bCs/>
                <w:color w:val="000000"/>
                <w:sz w:val="20"/>
                <w:szCs w:val="20"/>
              </w:rPr>
              <w:t xml:space="preserve"> 《中华人民共和国道路交通安全法实施条例》</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第五十四条　机动车载物不得超过机动车行驶证上核定的载质量，装载长度、宽度不得超出车厢，并应当遵守下列规定：</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（一）重型、中型载货汽车，半挂车载物，高度从地面起不得超过4米，载运集装箱的车辆不得超过4.2米；</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（二）其他载货的机动车载物，高度从地面起不得超过2.5米；</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（三）摩托车载物，高度从地面起不得超过1.5米，长度不得超出车身0.2米。两轮摩托车载物宽度左右各不得超出车把0.15米；三轮摩托车载物宽度不得超过车身。</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w:t>
            </w:r>
            <w:r>
              <w:rPr>
                <w:rFonts w:hint="eastAsia" w:ascii="宋体" w:hAnsi="宋体" w:eastAsia="宋体" w:cs="宋体"/>
                <w:b/>
                <w:bCs/>
                <w:color w:val="000000"/>
                <w:sz w:val="20"/>
                <w:szCs w:val="20"/>
              </w:rPr>
              <w:t xml:space="preserve"> 《河南省道路交通安全法实施条例》</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第六十五条　货运机动车超过核定载质量或者违反规定载客的，对机动车驾驶人按下列规定处罚：</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（一）超过核定载质量未达百分之三十的，处三百元罚款；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（二）超过核定载质量百分之三十以上未达百分之五十的，处五百元以上一千元以下罚款；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（三）超过核定载质量百分之五十以上的，处一千五百元罚款；                       </w:t>
            </w:r>
            <w:r>
              <w:rPr>
                <w:rFonts w:hint="eastAsia" w:ascii="宋体" w:hAnsi="宋体" w:eastAsia="宋体" w:cs="宋体"/>
                <w:b/>
                <w:bCs/>
                <w:color w:val="000000"/>
                <w:sz w:val="20"/>
                <w:szCs w:val="20"/>
              </w:rPr>
              <w:t xml:space="preserve">       《机动车驾驶证申领和使用规定》</w:t>
            </w:r>
            <w:r>
              <w:rPr>
                <w:rFonts w:hint="eastAsia" w:ascii="宋体" w:hAnsi="宋体" w:eastAsia="宋体" w:cs="宋体"/>
                <w:color w:val="000000"/>
                <w:sz w:val="20"/>
                <w:szCs w:val="20"/>
              </w:rPr>
              <w:t xml:space="preserve">                                                    附件4第二条第（六）项  机动车驾驶人有下列违法行为之一，一次记6分：                     ......                                                                       (六）驾驶货车载物超过核定载质量30%以上或者违反规定载客的；                                                                                                                  </w:t>
            </w:r>
          </w:p>
        </w:tc>
        <w:tc>
          <w:tcPr>
            <w:tcW w:w="200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记6分，罚款500-1000元，并处扣车</w:t>
            </w:r>
          </w:p>
        </w:tc>
        <w:tc>
          <w:tcPr>
            <w:tcW w:w="15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sz w:val="20"/>
                <w:szCs w:val="20"/>
              </w:rPr>
            </w:pPr>
            <w:r>
              <w:rPr>
                <w:rFonts w:hint="eastAsia" w:ascii="宋体" w:hAnsi="宋体" w:eastAsia="宋体" w:cs="宋体"/>
                <w:sz w:val="20"/>
                <w:szCs w:val="20"/>
              </w:rPr>
              <w:t>一、将处罚的情况及结果向车辆所在地的交通安全管理部门、所属企业逐一寄送抄告信，要求所在地的交通管理部门以及企业加强管控。二、加强宣传以向驾驶人发放宣传单，播放警示片等形式，使驾驶人提高安全意识。</w:t>
            </w:r>
          </w:p>
        </w:tc>
      </w:tr>
      <w:tr>
        <w:tblPrEx>
          <w:tblLayout w:type="fixed"/>
          <w:tblCellMar>
            <w:top w:w="0" w:type="dxa"/>
            <w:left w:w="108" w:type="dxa"/>
            <w:bottom w:w="0" w:type="dxa"/>
            <w:right w:w="108" w:type="dxa"/>
          </w:tblCellMar>
        </w:tblPrEx>
        <w:trPr>
          <w:trHeight w:val="8190" w:hRule="atLeast"/>
        </w:trPr>
        <w:tc>
          <w:tcPr>
            <w:tcW w:w="540" w:type="dxa"/>
            <w:tcBorders>
              <w:top w:val="nil"/>
              <w:left w:val="single" w:color="auto" w:sz="4" w:space="0"/>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5</w:t>
            </w:r>
          </w:p>
        </w:tc>
        <w:tc>
          <w:tcPr>
            <w:tcW w:w="148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超载50%以上</w:t>
            </w:r>
          </w:p>
        </w:tc>
        <w:tc>
          <w:tcPr>
            <w:tcW w:w="9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机动车驾驶人</w:t>
            </w:r>
          </w:p>
        </w:tc>
        <w:tc>
          <w:tcPr>
            <w:tcW w:w="8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交警大队</w:t>
            </w:r>
          </w:p>
        </w:tc>
        <w:tc>
          <w:tcPr>
            <w:tcW w:w="72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高</w:t>
            </w:r>
          </w:p>
        </w:tc>
        <w:tc>
          <w:tcPr>
            <w:tcW w:w="43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b/>
                <w:bCs/>
                <w:color w:val="000000"/>
                <w:sz w:val="20"/>
                <w:szCs w:val="20"/>
              </w:rPr>
            </w:pPr>
            <w:r>
              <w:rPr>
                <w:rFonts w:hint="eastAsia" w:ascii="宋体" w:hAnsi="宋体" w:eastAsia="宋体" w:cs="宋体"/>
                <w:b/>
                <w:bCs/>
                <w:color w:val="000000"/>
                <w:sz w:val="20"/>
                <w:szCs w:val="20"/>
              </w:rPr>
              <w:t xml:space="preserve"> 《中华人民共和国道路交通安全法》</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第四十八条 机动车载物应当符合核定的载质量，严禁超载；载物的长、宽、高不得违反装载要求，不得遗洒、飘散载运物。</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第九十二条 公路客运车辆载客超过额定乘员的，处二百元以上五百元以下罚款；超过额定乘员百分之二十或者违反规定载货的，处五百元以上二千元以下罚款。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货运机动车超过核定载质量的，处二百元以上五百元以下罚款；超过核定载质量百分之三十或者违反规定载客的，处五百元以上二千元以下罚款。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有前两款行为的，由公安机关交通管理部门扣留机动车至违法状态消除。</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运输单位的车辆有本条第一款、第二款规定的情形，经处罚不改的，对直接负责的主管人员处二千元以上五千元以下罚款。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w:t>
            </w:r>
            <w:r>
              <w:rPr>
                <w:rFonts w:hint="eastAsia" w:ascii="宋体" w:hAnsi="宋体" w:eastAsia="宋体" w:cs="宋体"/>
                <w:b/>
                <w:bCs/>
                <w:color w:val="000000"/>
                <w:sz w:val="20"/>
                <w:szCs w:val="20"/>
              </w:rPr>
              <w:t xml:space="preserve">  《中华人民共和国道路交通安全法实施条例》</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第五十四条　机动车载物不得超过机动车行驶证上核定的载质量，装载长度、宽度不得超出车厢，并应当遵守下列规定：</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（一）重型、中型载货汽车，半挂车载物，高度从地面起不得超过4米，载运集装箱的车辆不得超过4.2米；</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（二）其他载货的机动车载物，高度从地面起不得超过2.5米；</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（三）摩托车载物，高度从地面起不得超过1.5米，长度不得超出车身0.2米。两轮摩托车载物宽度左右各不得超出车把0.15米；三轮摩托车载物宽度不得超过车身。</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w:t>
            </w:r>
            <w:r>
              <w:rPr>
                <w:rFonts w:hint="eastAsia" w:ascii="宋体" w:hAnsi="宋体" w:eastAsia="宋体" w:cs="宋体"/>
                <w:b/>
                <w:bCs/>
                <w:color w:val="000000"/>
                <w:sz w:val="20"/>
                <w:szCs w:val="20"/>
              </w:rPr>
              <w:t xml:space="preserve"> 《河南省道路交通安全法实施条例》</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第六十五条　货运机动车超过核定载质量或者违反规定载客的，对机动车驾驶人按下列规定处罚：</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（一）超过核定载质量未达百分之三十的，处三百元罚款；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（二）超过核定载质量百分之三十以上未达百分之五十的，处五百元以上一千元以下罚款；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（三）超过核定载质量百分之五十以上的，处一千五百元罚款；                      </w:t>
            </w:r>
            <w:r>
              <w:rPr>
                <w:rFonts w:hint="eastAsia" w:ascii="宋体" w:hAnsi="宋体" w:eastAsia="宋体" w:cs="宋体"/>
                <w:b/>
                <w:bCs/>
                <w:color w:val="000000"/>
                <w:sz w:val="20"/>
                <w:szCs w:val="20"/>
              </w:rPr>
              <w:t xml:space="preserve">《机动车驾驶证申领和使用规定》 </w:t>
            </w:r>
            <w:r>
              <w:rPr>
                <w:rFonts w:hint="eastAsia" w:ascii="宋体" w:hAnsi="宋体" w:eastAsia="宋体" w:cs="宋体"/>
                <w:color w:val="000000"/>
                <w:sz w:val="20"/>
                <w:szCs w:val="20"/>
              </w:rPr>
              <w:t xml:space="preserve">                                               附件4第二条第（六）项  机动车驾驶人有下列违法行为之一，一次记6分：                  ......                                                                     (六）驾驶货车载物超过核定载质量30%以上或者违反规定载客的；                                                                                                                  </w:t>
            </w:r>
          </w:p>
        </w:tc>
        <w:tc>
          <w:tcPr>
            <w:tcW w:w="200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记6分，罚款1500元，并处扣车</w:t>
            </w:r>
          </w:p>
        </w:tc>
        <w:tc>
          <w:tcPr>
            <w:tcW w:w="15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sz w:val="20"/>
                <w:szCs w:val="20"/>
              </w:rPr>
            </w:pPr>
            <w:r>
              <w:rPr>
                <w:rFonts w:hint="eastAsia" w:ascii="宋体" w:hAnsi="宋体" w:eastAsia="宋体" w:cs="宋体"/>
                <w:sz w:val="20"/>
                <w:szCs w:val="20"/>
              </w:rPr>
              <w:t>一、将处罚的情况及结果向车辆所在地的交通安全管理部门、所属企业逐一寄送抄告信，要求所在地的交通管理部门以及企业加强管控。二、加强宣传以向驾驶人发放宣传单，播放警示片等形式，使驾驶人提高安全意识。</w:t>
            </w:r>
          </w:p>
        </w:tc>
      </w:tr>
      <w:tr>
        <w:tblPrEx>
          <w:tblLayout w:type="fixed"/>
          <w:tblCellMar>
            <w:top w:w="0" w:type="dxa"/>
            <w:left w:w="108" w:type="dxa"/>
            <w:bottom w:w="0" w:type="dxa"/>
            <w:right w:w="108" w:type="dxa"/>
          </w:tblCellMar>
        </w:tblPrEx>
        <w:trPr>
          <w:trHeight w:val="8190" w:hRule="atLeast"/>
        </w:trPr>
        <w:tc>
          <w:tcPr>
            <w:tcW w:w="540" w:type="dxa"/>
            <w:tcBorders>
              <w:top w:val="nil"/>
              <w:left w:val="single" w:color="auto" w:sz="4" w:space="0"/>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6</w:t>
            </w:r>
          </w:p>
        </w:tc>
        <w:tc>
          <w:tcPr>
            <w:tcW w:w="1480" w:type="dxa"/>
            <w:tcBorders>
              <w:top w:val="single" w:color="auto" w:sz="4" w:space="0"/>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违法停车</w:t>
            </w:r>
          </w:p>
        </w:tc>
        <w:tc>
          <w:tcPr>
            <w:tcW w:w="960" w:type="dxa"/>
            <w:tcBorders>
              <w:top w:val="nil"/>
              <w:left w:val="nil"/>
              <w:bottom w:val="single" w:color="auto" w:sz="4" w:space="0"/>
              <w:right w:val="single" w:color="auto" w:sz="4" w:space="0"/>
            </w:tcBorders>
            <w:shd w:val="clear" w:color="auto" w:fill="auto"/>
            <w:textDirection w:val="tbRlV"/>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机动车驾驶人</w:t>
            </w:r>
          </w:p>
        </w:tc>
        <w:tc>
          <w:tcPr>
            <w:tcW w:w="8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交警大队</w:t>
            </w:r>
          </w:p>
        </w:tc>
        <w:tc>
          <w:tcPr>
            <w:tcW w:w="72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color w:val="000000"/>
                <w:sz w:val="20"/>
                <w:szCs w:val="20"/>
              </w:rPr>
            </w:pPr>
            <w:r>
              <w:rPr>
                <w:rFonts w:hint="eastAsia" w:ascii="宋体" w:hAnsi="宋体" w:eastAsia="宋体" w:cs="宋体"/>
                <w:color w:val="000000"/>
                <w:sz w:val="20"/>
                <w:szCs w:val="20"/>
              </w:rPr>
              <w:t>中</w:t>
            </w:r>
          </w:p>
        </w:tc>
        <w:tc>
          <w:tcPr>
            <w:tcW w:w="43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color w:val="FF0000"/>
                <w:sz w:val="20"/>
                <w:szCs w:val="20"/>
              </w:rPr>
            </w:pPr>
            <w:r>
              <w:rPr>
                <w:rFonts w:hint="eastAsia" w:ascii="宋体" w:hAnsi="宋体" w:eastAsia="宋体" w:cs="宋体"/>
                <w:b/>
                <w:bCs/>
                <w:color w:val="000000"/>
                <w:sz w:val="20"/>
                <w:szCs w:val="20"/>
              </w:rPr>
              <w:t xml:space="preserve">   《中华人民共和国道路交通安全法》</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第五十六条 机动车应当在规定地点停放。禁止在人行道上停放机动车；但是，依照本法第三十三条规定施划的停车泊位除外。</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在道路上临时停车的，不得妨碍其他车辆和行人通行。</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第九十条 机动车驾驶人违反道路交</w:t>
            </w:r>
            <w:bookmarkStart w:id="0" w:name="_GoBack"/>
            <w:bookmarkEnd w:id="0"/>
            <w:r>
              <w:rPr>
                <w:rFonts w:hint="eastAsia" w:ascii="宋体" w:hAnsi="宋体" w:eastAsia="宋体" w:cs="宋体"/>
                <w:color w:val="000000"/>
                <w:sz w:val="20"/>
                <w:szCs w:val="20"/>
              </w:rPr>
              <w:t>通安全法律、法规关于道路通行规定的，处警告或者二十元以上二百元以下罚款。本法另有规定的，依照规定处罚。</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第九十三条 对违反道路交通安全法律、法规关于机动车停放、临时停车规定的，可以指出违法行为，并予以口头警告，令其立即驶离。</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机动车驾驶人不在现场或者虽在现场但拒绝立即驶离，妨碍其他车辆、行人通行的，处二十元以上二百元以下罚款，并可以将该机动车拖移至不妨碍交通的地点或者公安机关交通管理部门指定的地点停放。公安机关交通管理部门拖车不得向当事人收取费用，并应当及时告知当事人停放地点。</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因采取不正确的方法拖车造成机动车损坏的，应当依法承担补偿责任。</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w:t>
            </w:r>
            <w:r>
              <w:rPr>
                <w:rFonts w:hint="eastAsia" w:ascii="宋体" w:hAnsi="宋体" w:eastAsia="宋体" w:cs="宋体"/>
                <w:b/>
                <w:bCs/>
                <w:color w:val="000000"/>
                <w:sz w:val="20"/>
                <w:szCs w:val="20"/>
              </w:rPr>
              <w:t>《中华人民共和国道路交通安全法实施条例》</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第六十三条　机动车在道路上临时停车，应当遵守下列规定：</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（一）在设有禁停标志、标线的路段，在机动车道与非机动车道、人行道之间设有隔离设施的路段以及人行横道、施工地段，不得停车；</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（二）交叉路口、铁路道口、急弯路、宽度不足4米的窄路、桥梁、陡坡、隧道以及距离上述地点50米以内的路段，不得停车；</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（三）公共汽车站、急救站、加油站、消防栓或者消防队（站）门前以及距离上述地点30米以内的路段，除使用上述设施的以外，不得停车；</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（四）车辆停稳前不得开车门和上下人员，开关车门不得妨碍其他车辆和行人通行；</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（五）路边停车应当紧靠道路右侧，机动车驾驶人不得离车，上下人员或者装卸物品后，立即驶离；</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（六）城市公共汽车不得在站点以外的路段停车上下乘客。</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w:t>
            </w:r>
            <w:r>
              <w:rPr>
                <w:rFonts w:hint="eastAsia" w:ascii="宋体" w:hAnsi="宋体" w:eastAsia="宋体" w:cs="宋体"/>
                <w:b/>
                <w:bCs/>
                <w:color w:val="000000"/>
                <w:sz w:val="20"/>
                <w:szCs w:val="20"/>
              </w:rPr>
              <w:t>《河南省道路交通安全法实施条例》</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第五十八条　驾驶机动车有下列情形之一的，处二百元罚款：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（六）违反规定停放车辆，影响其他车辆、行人通行的；</w:t>
            </w:r>
          </w:p>
        </w:tc>
        <w:tc>
          <w:tcPr>
            <w:tcW w:w="200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行政罚款，可以拖移机动车</w:t>
            </w:r>
          </w:p>
        </w:tc>
        <w:tc>
          <w:tcPr>
            <w:tcW w:w="154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一、根据辖区实际道路情况，按照“应划尽划”的原则，全面施划机动车和非机动车停车位；二、从严查处乱停乱放的交通违法行为，对驾驶人不在现场或者虽在现场但拒绝立即驶离，妨碍其他车辆、行人通行的，依法予以处罚。对被查纠的违法行为，本着教育与处罚相结合的原则，真正做到处罚一起，教育一片，使乱停乱放交通违法行为得到有效治理。</w:t>
            </w:r>
          </w:p>
        </w:tc>
      </w:tr>
      <w:tr>
        <w:tblPrEx>
          <w:tblLayout w:type="fixed"/>
          <w:tblCellMar>
            <w:top w:w="0" w:type="dxa"/>
            <w:left w:w="108" w:type="dxa"/>
            <w:bottom w:w="0" w:type="dxa"/>
            <w:right w:w="108" w:type="dxa"/>
          </w:tblCellMar>
        </w:tblPrEx>
        <w:trPr>
          <w:trHeight w:val="4275" w:hRule="atLeast"/>
        </w:trPr>
        <w:tc>
          <w:tcPr>
            <w:tcW w:w="540" w:type="dxa"/>
            <w:tcBorders>
              <w:top w:val="nil"/>
              <w:left w:val="single" w:color="auto" w:sz="4" w:space="0"/>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7</w:t>
            </w:r>
          </w:p>
        </w:tc>
        <w:tc>
          <w:tcPr>
            <w:tcW w:w="1480" w:type="dxa"/>
            <w:tcBorders>
              <w:top w:val="single" w:color="auto" w:sz="4" w:space="0"/>
              <w:left w:val="nil"/>
              <w:bottom w:val="single" w:color="auto" w:sz="4" w:space="0"/>
              <w:right w:val="single" w:color="000000"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寻衅滋事</w:t>
            </w:r>
          </w:p>
        </w:tc>
        <w:tc>
          <w:tcPr>
            <w:tcW w:w="9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公民</w:t>
            </w:r>
          </w:p>
        </w:tc>
        <w:tc>
          <w:tcPr>
            <w:tcW w:w="8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治安大队、各派出所</w:t>
            </w:r>
          </w:p>
        </w:tc>
        <w:tc>
          <w:tcPr>
            <w:tcW w:w="72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color w:val="000000"/>
                <w:sz w:val="20"/>
                <w:szCs w:val="20"/>
              </w:rPr>
            </w:pPr>
            <w:r>
              <w:rPr>
                <w:rFonts w:hint="eastAsia" w:ascii="宋体" w:hAnsi="宋体" w:eastAsia="宋体" w:cs="宋体"/>
                <w:color w:val="000000"/>
                <w:sz w:val="20"/>
                <w:szCs w:val="20"/>
              </w:rPr>
              <w:t>中</w:t>
            </w:r>
          </w:p>
        </w:tc>
        <w:tc>
          <w:tcPr>
            <w:tcW w:w="43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color w:val="FF0000"/>
                <w:sz w:val="20"/>
                <w:szCs w:val="20"/>
              </w:rPr>
            </w:pPr>
            <w:r>
              <w:rPr>
                <w:rFonts w:hint="eastAsia" w:ascii="宋体" w:hAnsi="宋体" w:eastAsia="宋体" w:cs="宋体"/>
                <w:b/>
                <w:bCs/>
                <w:color w:val="000000"/>
                <w:sz w:val="20"/>
                <w:szCs w:val="20"/>
              </w:rPr>
              <w:t xml:space="preserve">   《中华人民共和国治安管理处罚法》</w:t>
            </w:r>
            <w:r>
              <w:rPr>
                <w:rFonts w:hint="eastAsia" w:ascii="宋体" w:hAnsi="宋体" w:eastAsia="宋体" w:cs="宋体"/>
                <w:color w:val="000000"/>
                <w:sz w:val="20"/>
                <w:szCs w:val="20"/>
              </w:rPr>
              <w:t>第二十六条 有下列行为之一的，处五日以上十日以下拘留，可以并处五百元以下罚款；情节较重的，处十日以上十五日以下拘留，可以并处一千元以下罚款：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（一）结伙斗殴的；</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（二）追逐、拦截他人的；</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（三）强拿硬要或者任意损毁、占用公私财物的；</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（四）其他寻衅滋事行为。</w:t>
            </w:r>
          </w:p>
        </w:tc>
        <w:tc>
          <w:tcPr>
            <w:tcW w:w="200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行政罚款、行政拘留</w:t>
            </w:r>
          </w:p>
        </w:tc>
        <w:tc>
          <w:tcPr>
            <w:tcW w:w="15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sz w:val="20"/>
                <w:szCs w:val="20"/>
              </w:rPr>
            </w:pPr>
            <w:r>
              <w:rPr>
                <w:rFonts w:hint="eastAsia" w:ascii="宋体" w:hAnsi="宋体" w:eastAsia="宋体" w:cs="宋体"/>
                <w:sz w:val="20"/>
                <w:szCs w:val="20"/>
              </w:rPr>
              <w:t>一、加大巡逻力度，提高群众安全感；二、加大宣传力度，提高公民守法意识与自我防范意识。</w:t>
            </w:r>
          </w:p>
        </w:tc>
      </w:tr>
      <w:tr>
        <w:tblPrEx>
          <w:tblLayout w:type="fixed"/>
          <w:tblCellMar>
            <w:top w:w="0" w:type="dxa"/>
            <w:left w:w="108" w:type="dxa"/>
            <w:bottom w:w="0" w:type="dxa"/>
            <w:right w:w="108" w:type="dxa"/>
          </w:tblCellMar>
        </w:tblPrEx>
        <w:trPr>
          <w:trHeight w:val="1980" w:hRule="atLeast"/>
        </w:trPr>
        <w:tc>
          <w:tcPr>
            <w:tcW w:w="540" w:type="dxa"/>
            <w:tcBorders>
              <w:top w:val="nil"/>
              <w:left w:val="single" w:color="auto" w:sz="4" w:space="0"/>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8</w:t>
            </w:r>
          </w:p>
        </w:tc>
        <w:tc>
          <w:tcPr>
            <w:tcW w:w="1480" w:type="dxa"/>
            <w:tcBorders>
              <w:top w:val="single" w:color="auto" w:sz="4" w:space="0"/>
              <w:left w:val="nil"/>
              <w:bottom w:val="single" w:color="auto" w:sz="4" w:space="0"/>
              <w:right w:val="single" w:color="000000"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殴打他人、故意伤害</w:t>
            </w:r>
          </w:p>
        </w:tc>
        <w:tc>
          <w:tcPr>
            <w:tcW w:w="9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公民</w:t>
            </w:r>
          </w:p>
        </w:tc>
        <w:tc>
          <w:tcPr>
            <w:tcW w:w="8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治安大队、各派出所</w:t>
            </w:r>
          </w:p>
        </w:tc>
        <w:tc>
          <w:tcPr>
            <w:tcW w:w="72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color w:val="000000"/>
                <w:sz w:val="20"/>
                <w:szCs w:val="20"/>
              </w:rPr>
            </w:pPr>
            <w:r>
              <w:rPr>
                <w:rFonts w:hint="eastAsia" w:ascii="宋体" w:hAnsi="宋体" w:eastAsia="宋体" w:cs="宋体"/>
                <w:color w:val="000000"/>
                <w:sz w:val="20"/>
                <w:szCs w:val="20"/>
              </w:rPr>
              <w:t>中</w:t>
            </w:r>
          </w:p>
        </w:tc>
        <w:tc>
          <w:tcPr>
            <w:tcW w:w="43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color w:val="000000"/>
                <w:sz w:val="20"/>
                <w:szCs w:val="20"/>
              </w:rPr>
            </w:pP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w:t>
            </w:r>
            <w:r>
              <w:rPr>
                <w:rFonts w:hint="eastAsia" w:ascii="宋体" w:hAnsi="宋体" w:eastAsia="宋体" w:cs="宋体"/>
                <w:b/>
                <w:bCs/>
                <w:color w:val="000000"/>
                <w:sz w:val="20"/>
                <w:szCs w:val="20"/>
              </w:rPr>
              <w:t>《中华人民共和国治安管理处罚法》</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第四十三条 殴打他人的，或者故意伤害他人身体的，处五日以上十日以下拘留，并处二百元以上五百元以下罚款；情节较轻的，处五日以下拘留或者五百元以下罚款。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有下列情形之一的，处十日以上十五日以下拘留，并处五百元以上一千元以下罚款：</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（一）结伙殴打、伤害他人的；</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（二）殴打、伤害残疾人、孕妇、不满十四周岁的人或者六十周岁以上的人的；</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（三）多次殴打、伤害他人或者一次殴打、伤害多人的。</w:t>
            </w:r>
          </w:p>
        </w:tc>
        <w:tc>
          <w:tcPr>
            <w:tcW w:w="200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行政罚款、行政拘留</w:t>
            </w:r>
          </w:p>
        </w:tc>
        <w:tc>
          <w:tcPr>
            <w:tcW w:w="15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sz w:val="20"/>
                <w:szCs w:val="20"/>
              </w:rPr>
            </w:pPr>
            <w:r>
              <w:rPr>
                <w:rFonts w:hint="eastAsia" w:ascii="宋体" w:hAnsi="宋体" w:eastAsia="宋体" w:cs="宋体"/>
                <w:sz w:val="20"/>
                <w:szCs w:val="20"/>
              </w:rPr>
              <w:t>一、加大巡逻力度，提高群众安全感；二、加大宣传力度，提高公民守法意识与自我防范意识。</w:t>
            </w:r>
          </w:p>
        </w:tc>
      </w:tr>
      <w:tr>
        <w:tblPrEx>
          <w:tblLayout w:type="fixed"/>
          <w:tblCellMar>
            <w:top w:w="0" w:type="dxa"/>
            <w:left w:w="108" w:type="dxa"/>
            <w:bottom w:w="0" w:type="dxa"/>
            <w:right w:w="108" w:type="dxa"/>
          </w:tblCellMar>
        </w:tblPrEx>
        <w:trPr>
          <w:trHeight w:val="2715" w:hRule="atLeast"/>
        </w:trPr>
        <w:tc>
          <w:tcPr>
            <w:tcW w:w="540" w:type="dxa"/>
            <w:tcBorders>
              <w:top w:val="nil"/>
              <w:left w:val="single" w:color="auto" w:sz="4" w:space="0"/>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9</w:t>
            </w:r>
          </w:p>
        </w:tc>
        <w:tc>
          <w:tcPr>
            <w:tcW w:w="1480" w:type="dxa"/>
            <w:tcBorders>
              <w:top w:val="single" w:color="auto" w:sz="4" w:space="0"/>
              <w:left w:val="nil"/>
              <w:bottom w:val="single" w:color="auto" w:sz="4" w:space="0"/>
              <w:right w:val="single" w:color="000000"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盗窃</w:t>
            </w:r>
          </w:p>
        </w:tc>
        <w:tc>
          <w:tcPr>
            <w:tcW w:w="9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公民</w:t>
            </w:r>
          </w:p>
        </w:tc>
        <w:tc>
          <w:tcPr>
            <w:tcW w:w="86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治安大队、各派出所</w:t>
            </w:r>
          </w:p>
        </w:tc>
        <w:tc>
          <w:tcPr>
            <w:tcW w:w="72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color w:val="000000"/>
                <w:sz w:val="20"/>
                <w:szCs w:val="20"/>
              </w:rPr>
            </w:pPr>
            <w:r>
              <w:rPr>
                <w:rFonts w:hint="eastAsia" w:ascii="宋体" w:hAnsi="宋体" w:eastAsia="宋体" w:cs="宋体"/>
                <w:color w:val="000000"/>
                <w:sz w:val="20"/>
                <w:szCs w:val="20"/>
              </w:rPr>
              <w:t>中</w:t>
            </w:r>
          </w:p>
        </w:tc>
        <w:tc>
          <w:tcPr>
            <w:tcW w:w="43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color w:val="FF0000"/>
                <w:sz w:val="20"/>
                <w:szCs w:val="20"/>
              </w:rPr>
            </w:pPr>
            <w:r>
              <w:rPr>
                <w:rFonts w:hint="eastAsia" w:ascii="宋体" w:hAnsi="宋体" w:eastAsia="宋体" w:cs="宋体"/>
                <w:b/>
                <w:bCs/>
                <w:color w:val="000000"/>
                <w:sz w:val="20"/>
                <w:szCs w:val="20"/>
              </w:rPr>
              <w:t xml:space="preserve">    《中华人民共和国治安管理处罚法》</w:t>
            </w:r>
            <w:r>
              <w:rPr>
                <w:rFonts w:hint="eastAsia" w:ascii="宋体" w:hAnsi="宋体" w:eastAsia="宋体" w:cs="宋体"/>
                <w:color w:val="000000"/>
                <w:sz w:val="20"/>
                <w:szCs w:val="20"/>
              </w:rPr>
              <w:br w:type="textWrapping"/>
            </w:r>
            <w:r>
              <w:rPr>
                <w:rFonts w:hint="eastAsia" w:ascii="宋体" w:hAnsi="宋体" w:eastAsia="宋体" w:cs="宋体"/>
                <w:color w:val="000000"/>
                <w:sz w:val="20"/>
                <w:szCs w:val="20"/>
              </w:rPr>
              <w:t xml:space="preserve">     第四十九条 盗窃、诈骗、哄抢、抢夺、敲诈勒索或者故意损毁公私财物的，处五日以上十日以下拘留，可以并处五百元以下罚款；情节较重的，处十日以上十五日以下拘留，可以并处一千元以下罚款。</w:t>
            </w:r>
          </w:p>
        </w:tc>
        <w:tc>
          <w:tcPr>
            <w:tcW w:w="2000" w:type="dxa"/>
            <w:tcBorders>
              <w:top w:val="nil"/>
              <w:left w:val="nil"/>
              <w:bottom w:val="single" w:color="auto" w:sz="4" w:space="0"/>
              <w:right w:val="single" w:color="auto" w:sz="4" w:space="0"/>
            </w:tcBorders>
            <w:shd w:val="clear" w:color="auto" w:fill="auto"/>
            <w:vAlign w:val="center"/>
          </w:tcPr>
          <w:p>
            <w:pPr>
              <w:adjustRightInd/>
              <w:snapToGrid/>
              <w:spacing w:after="0"/>
              <w:jc w:val="center"/>
              <w:rPr>
                <w:rFonts w:ascii="宋体" w:hAnsi="宋体" w:eastAsia="宋体" w:cs="宋体"/>
                <w:sz w:val="20"/>
                <w:szCs w:val="20"/>
              </w:rPr>
            </w:pPr>
            <w:r>
              <w:rPr>
                <w:rFonts w:hint="eastAsia" w:ascii="宋体" w:hAnsi="宋体" w:eastAsia="宋体" w:cs="宋体"/>
                <w:sz w:val="20"/>
                <w:szCs w:val="20"/>
              </w:rPr>
              <w:t>行政罚款、行政拘留</w:t>
            </w:r>
          </w:p>
        </w:tc>
        <w:tc>
          <w:tcPr>
            <w:tcW w:w="1540" w:type="dxa"/>
            <w:tcBorders>
              <w:top w:val="nil"/>
              <w:left w:val="nil"/>
              <w:bottom w:val="single" w:color="auto" w:sz="4" w:space="0"/>
              <w:right w:val="single" w:color="auto" w:sz="4" w:space="0"/>
            </w:tcBorders>
            <w:shd w:val="clear" w:color="auto" w:fill="auto"/>
            <w:vAlign w:val="center"/>
          </w:tcPr>
          <w:p>
            <w:pPr>
              <w:adjustRightInd/>
              <w:snapToGrid/>
              <w:spacing w:after="0"/>
              <w:rPr>
                <w:rFonts w:ascii="宋体" w:hAnsi="宋体" w:eastAsia="宋体" w:cs="宋体"/>
                <w:sz w:val="20"/>
                <w:szCs w:val="20"/>
              </w:rPr>
            </w:pPr>
            <w:r>
              <w:rPr>
                <w:rFonts w:hint="eastAsia" w:ascii="宋体" w:hAnsi="宋体" w:eastAsia="宋体" w:cs="宋体"/>
                <w:sz w:val="20"/>
                <w:szCs w:val="20"/>
              </w:rPr>
              <w:t>一、加大巡逻力度，提高街面见警率；二、加强宣传，在案件高发地点张贴警示牌，将易发案件及违法相对人常用盗窃手段告知于众，提高群众的自我防范意识。</w:t>
            </w:r>
          </w:p>
        </w:tc>
      </w:tr>
    </w:tbl>
    <w:p>
      <w:pPr>
        <w:spacing w:line="220" w:lineRule="atLeast"/>
      </w:pPr>
    </w:p>
    <w:sectPr>
      <w:footerReference r:id="rId3" w:type="default"/>
      <w:pgSz w:w="16838" w:h="11906" w:orient="landscape"/>
      <w:pgMar w:top="1800" w:right="1440" w:bottom="1800" w:left="144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微软雅黑"/>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pStyle w:val="2"/>
                      <w:rPr>
                        <w:rFonts w:hint="eastAsia" w:eastAsia="微软雅黑"/>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1"/>
  <w:bordersDoNotSurroundFooter w:val="1"/>
  <w:documentProtection w:enforcement="0"/>
  <w:defaultTabStop w:val="720"/>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D50"/>
    <w:rsid w:val="00075E10"/>
    <w:rsid w:val="000A6760"/>
    <w:rsid w:val="00323B43"/>
    <w:rsid w:val="003D37D8"/>
    <w:rsid w:val="00426133"/>
    <w:rsid w:val="004358AB"/>
    <w:rsid w:val="00465D14"/>
    <w:rsid w:val="0049755C"/>
    <w:rsid w:val="005E645F"/>
    <w:rsid w:val="00693A70"/>
    <w:rsid w:val="006D2CF2"/>
    <w:rsid w:val="006D6205"/>
    <w:rsid w:val="00871F7C"/>
    <w:rsid w:val="008B7726"/>
    <w:rsid w:val="00B14140"/>
    <w:rsid w:val="00C66734"/>
    <w:rsid w:val="00CE2B07"/>
    <w:rsid w:val="00D31D50"/>
    <w:rsid w:val="00F15ABF"/>
    <w:rsid w:val="00FF6039"/>
    <w:rsid w:val="0E1F7CB3"/>
    <w:rsid w:val="14894DAB"/>
    <w:rsid w:val="35033424"/>
    <w:rsid w:val="3D362631"/>
    <w:rsid w:val="4F556C21"/>
    <w:rsid w:val="577300A1"/>
    <w:rsid w:val="688D632C"/>
    <w:rsid w:val="7C0335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微软雅黑"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character" w:default="1" w:styleId="4">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jc w:val="center"/>
    </w:pPr>
    <w:rPr>
      <w:sz w:val="18"/>
      <w:szCs w:val="18"/>
    </w:rPr>
  </w:style>
  <w:style w:type="character" w:customStyle="1" w:styleId="6">
    <w:name w:val="页眉 Char"/>
    <w:basedOn w:val="4"/>
    <w:link w:val="3"/>
    <w:semiHidden/>
    <w:qFormat/>
    <w:uiPriority w:val="99"/>
    <w:rPr>
      <w:rFonts w:ascii="Tahoma" w:hAnsi="Tahoma"/>
      <w:sz w:val="18"/>
      <w:szCs w:val="18"/>
    </w:rPr>
  </w:style>
  <w:style w:type="character" w:customStyle="1" w:styleId="7">
    <w:name w:val="页脚 Char"/>
    <w:basedOn w:val="4"/>
    <w:link w:val="2"/>
    <w:semiHidden/>
    <w:qFormat/>
    <w:uiPriority w:val="99"/>
    <w:rPr>
      <w:rFonts w:ascii="Tahoma" w:hAnsi="Tahoma"/>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Pages>
  <Words>997</Words>
  <Characters>5688</Characters>
  <Lines>47</Lines>
  <Paragraphs>13</Paragraphs>
  <TotalTime>5</TotalTime>
  <ScaleCrop>false</ScaleCrop>
  <LinksUpToDate>false</LinksUpToDate>
  <CharactersWithSpaces>6672</CharactersWithSpaces>
  <Application>WPS Office_10.8.2.6948_F1E327BC-269C-435d-A152-05C5408002CA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2021-11-16T02:59:00Z</dcterms:created>
  <dc:creator>Administrator</dc:creator>
  <cp:lastModifiedBy>Administrator</cp:lastModifiedBy>
  <dcterms:modified xsi:type="dcterms:W3CDTF">2021-11-19T08:41:00Z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2052-10.8.2.6948</vt:lpwstr>
  </property>
</Properties>
</file>