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重大执法决定法制审核目录清单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单位名称：尉氏县应急管理局</w:t>
      </w:r>
    </w:p>
    <w:tbl>
      <w:tblPr>
        <w:tblStyle w:val="3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2"/>
        <w:gridCol w:w="738"/>
        <w:gridCol w:w="2175"/>
        <w:gridCol w:w="975"/>
        <w:gridCol w:w="687"/>
        <w:gridCol w:w="19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审核事项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审核依据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提交部门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应提交的审核资料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行政处罚事项</w:t>
            </w: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对个人罚款2万元以上，生产经营单位处以5万元以上的罚款；没收违法所得或者没收非法财物价值相当于上述规定的数额。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《中华人民共和国安全生产法》第八十九条；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《安全生产违法行为行政处罚办法》第二十九条；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《河南省重大行政执法决定法制审核办法》第六条。</w:t>
            </w: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现场监察记录、询问笔录等执法文书；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相关证据资料，案件调查终结报告；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拟制的行政处罚决定类文书；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《重大行政执法决定法制审核申请表》等材料。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行政执法主体是否合法，行政执法人员是否具备执法资格；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当事人的基本情况是否查清；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违法事实是否清楚，证据是否准确凿、充分，材料是否齐全；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适用法律、法规、规章是否准确，执行裁量基准是否适当；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行政执法决定是否适当；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程序是否合法，是否充分保障行政相对人权利；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是否有超越本机关职权范围或滥用职权的情形；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行政执法文书是否规范、齐备；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违法行为是否涉嫌犯罪需要移送司法机关；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责令停产停业整顿、责令停产停业、责令停止建设、责令停止施工。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吊销有关许可证、撤销有关职业资格、岗位证书、降低资质等级的。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对发生法律效力的行政执法决定进行纠正，及可能作出行政赔偿或者不予行政赔偿决定的。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行政许可事项</w:t>
            </w: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需经听证程序作出决定的；撤回、撤销行政许可决定的。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《行政许可法》第四十六条、第四十七条。</w:t>
            </w: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《重大行政许可申请表》等材料</w:t>
            </w:r>
          </w:p>
        </w:tc>
        <w:tc>
          <w:tcPr>
            <w:tcW w:w="240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审查该行政许可申请的工作人员应当提供审查意见的证据、理由；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申请人、利害关系人可以提出证据，并进行申辩和质证。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行政强制事项</w:t>
            </w: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申请人民法院强制执行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《中华人民共和国行政强制法》第四十六条，第五十三条、第五十四条</w:t>
            </w:r>
          </w:p>
        </w:tc>
        <w:tc>
          <w:tcPr>
            <w:tcW w:w="687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相关股室（执法监察大队）</w:t>
            </w:r>
          </w:p>
        </w:tc>
        <w:tc>
          <w:tcPr>
            <w:tcW w:w="1900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行政决定书及作出决定的事实、理由和依据；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当事人的意见及行政机关催告情况说明；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申请强制执行的情况说明；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拟制的强制执行申请书；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《重大行政执法决定法制审核申请表》等材料</w:t>
            </w:r>
          </w:p>
        </w:tc>
        <w:tc>
          <w:tcPr>
            <w:tcW w:w="2400" w:type="dxa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在法定期限内，当事人是否已申请行政复议或者提起行政诉讼；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是否已按规定时限下达《行政强制执行事先催告书》；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是否有查封、扣押的财物可以依法拍卖抵缴罚款；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申请强制执行是否符合其他法定条件；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vertAlign w:val="baseline"/>
                <w:lang w:val="en-US" w:eastAsia="zh-CN"/>
              </w:rPr>
              <w:t>其他依法应当审核的事项。</w:t>
            </w:r>
          </w:p>
        </w:tc>
      </w:tr>
    </w:tbl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FBAEA"/>
    <w:multiLevelType w:val="singleLevel"/>
    <w:tmpl w:val="868FBA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E5FBA3"/>
    <w:multiLevelType w:val="singleLevel"/>
    <w:tmpl w:val="A2E5FB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FD7250"/>
    <w:multiLevelType w:val="singleLevel"/>
    <w:tmpl w:val="B3FD72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F388924"/>
    <w:multiLevelType w:val="singleLevel"/>
    <w:tmpl w:val="EF38892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E884956"/>
    <w:multiLevelType w:val="singleLevel"/>
    <w:tmpl w:val="0E8849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1036589"/>
    <w:multiLevelType w:val="singleLevel"/>
    <w:tmpl w:val="110365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2021-02-23T08:05:49Z</dcterms:created>
  <dc:creator>Administrator</dc:creator>
  <cp:lastModifiedBy>有智者 事竟成</cp:lastModifiedBy>
  <dcterms:modified xsi:type="dcterms:W3CDTF">2021-02-23T08:50:56Z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121521590F0542A1935E36989ED43E6D</vt:lpwstr>
  </property>
</Properties>
</file>