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90" w:type="dxa"/>
        <w:jc w:val="center"/>
        <w:tblLayout w:type="fixed"/>
        <w:tblCellMar>
          <w:top w:w="0" w:type="dxa"/>
          <w:left w:w="0" w:type="dxa"/>
          <w:bottom w:w="0" w:type="dxa"/>
          <w:right w:w="0" w:type="dxa"/>
        </w:tblCellMar>
      </w:tblPr>
      <w:tblGrid>
        <w:gridCol w:w="581"/>
        <w:gridCol w:w="560"/>
        <w:gridCol w:w="612"/>
        <w:gridCol w:w="2592"/>
        <w:gridCol w:w="2364"/>
        <w:gridCol w:w="1140"/>
        <w:gridCol w:w="1128"/>
        <w:gridCol w:w="2748"/>
        <w:gridCol w:w="441"/>
        <w:gridCol w:w="603"/>
        <w:gridCol w:w="559"/>
        <w:gridCol w:w="554"/>
        <w:gridCol w:w="554"/>
        <w:gridCol w:w="554"/>
      </w:tblGrid>
      <w:tr>
        <w:tblPrEx>
          <w:tblCellMar>
            <w:top w:w="0" w:type="dxa"/>
            <w:left w:w="0" w:type="dxa"/>
            <w:bottom w:w="0" w:type="dxa"/>
            <w:right w:w="0" w:type="dxa"/>
          </w:tblCellMar>
        </w:tblPrEx>
        <w:trPr>
          <w:trHeight w:val="1023" w:hRule="atLeast"/>
          <w:jc w:val="center"/>
        </w:trPr>
        <w:tc>
          <w:tcPr>
            <w:tcW w:w="14990" w:type="dxa"/>
            <w:gridSpan w:val="14"/>
            <w:tcBorders>
              <w:top w:val="nil"/>
              <w:left w:val="nil"/>
              <w:bottom w:val="nil"/>
              <w:right w:val="nil"/>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ascii="方正小标宋简体" w:hAnsi="方正小标宋简体" w:eastAsia="方正小标宋简体" w:cs="方正小标宋简体"/>
                <w:i w:val="0"/>
                <w:color w:val="000000"/>
                <w:sz w:val="18"/>
                <w:szCs w:val="18"/>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尉氏县税收管理领域基层政务公开标准目录</w:t>
            </w:r>
          </w:p>
        </w:tc>
      </w:tr>
      <w:tr>
        <w:tblPrEx>
          <w:tblCellMar>
            <w:top w:w="0" w:type="dxa"/>
            <w:left w:w="0" w:type="dxa"/>
            <w:bottom w:w="0" w:type="dxa"/>
            <w:right w:w="0" w:type="dxa"/>
          </w:tblCellMar>
        </w:tblPrEx>
        <w:trPr>
          <w:trHeight w:val="525"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序号</w:t>
            </w:r>
          </w:p>
        </w:tc>
        <w:tc>
          <w:tcPr>
            <w:tcW w:w="117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shd w:val="clear" w:color="auto" w:fill="auto"/>
              <w:jc w:val="center"/>
              <w:textAlignment w:val="top"/>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公开事项</w:t>
            </w:r>
          </w:p>
        </w:tc>
        <w:tc>
          <w:tcPr>
            <w:tcW w:w="259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公开内容（要素）</w:t>
            </w:r>
          </w:p>
        </w:tc>
        <w:tc>
          <w:tcPr>
            <w:tcW w:w="236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公开依据</w:t>
            </w:r>
          </w:p>
        </w:tc>
        <w:tc>
          <w:tcPr>
            <w:tcW w:w="114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公开时限</w:t>
            </w:r>
          </w:p>
        </w:tc>
        <w:tc>
          <w:tcPr>
            <w:tcW w:w="1128"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公开主体</w:t>
            </w:r>
          </w:p>
        </w:tc>
        <w:tc>
          <w:tcPr>
            <w:tcW w:w="2748"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公开渠道和载体</w:t>
            </w:r>
          </w:p>
        </w:tc>
        <w:tc>
          <w:tcPr>
            <w:tcW w:w="10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公开对象</w:t>
            </w:r>
          </w:p>
        </w:tc>
        <w:tc>
          <w:tcPr>
            <w:tcW w:w="111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公开方式</w:t>
            </w:r>
          </w:p>
        </w:tc>
        <w:tc>
          <w:tcPr>
            <w:tcW w:w="110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468"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hd w:val="clear" w:color="auto" w:fill="auto"/>
              <w:jc w:val="center"/>
              <w:rPr>
                <w:rFonts w:hint="eastAsia" w:ascii="黑体" w:hAnsi="宋体" w:eastAsia="黑体" w:cs="黑体"/>
                <w:b/>
                <w:i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shd w:val="clear" w:color="auto" w:fill="auto"/>
              <w:jc w:val="center"/>
              <w:textAlignment w:val="top"/>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一级事项</w:t>
            </w: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top"/>
          </w:tcPr>
          <w:p>
            <w:pPr>
              <w:keepNext w:val="0"/>
              <w:keepLines w:val="0"/>
              <w:widowControl/>
              <w:suppressLineNumbers w:val="0"/>
              <w:shd w:val="clear" w:color="auto" w:fill="auto"/>
              <w:jc w:val="center"/>
              <w:textAlignment w:val="top"/>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二级事项</w:t>
            </w:r>
          </w:p>
        </w:tc>
        <w:tc>
          <w:tcPr>
            <w:tcW w:w="259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hd w:val="clear" w:color="auto" w:fill="auto"/>
              <w:jc w:val="left"/>
              <w:rPr>
                <w:rFonts w:hint="eastAsia" w:ascii="黑体" w:hAnsi="宋体" w:eastAsia="黑体" w:cs="黑体"/>
                <w:b/>
                <w:i w:val="0"/>
                <w:color w:val="000000"/>
                <w:sz w:val="18"/>
                <w:szCs w:val="18"/>
                <w:u w:val="none"/>
              </w:rPr>
            </w:pPr>
          </w:p>
        </w:tc>
        <w:tc>
          <w:tcPr>
            <w:tcW w:w="236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hd w:val="clear" w:color="auto" w:fill="auto"/>
              <w:jc w:val="left"/>
              <w:rPr>
                <w:rFonts w:hint="eastAsia" w:ascii="黑体" w:hAnsi="宋体" w:eastAsia="黑体" w:cs="黑体"/>
                <w:b/>
                <w:i w:val="0"/>
                <w:color w:val="000000"/>
                <w:sz w:val="18"/>
                <w:szCs w:val="18"/>
                <w:u w:val="none"/>
              </w:rPr>
            </w:pPr>
          </w:p>
        </w:tc>
        <w:tc>
          <w:tcPr>
            <w:tcW w:w="114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hd w:val="clear" w:color="auto" w:fill="auto"/>
              <w:jc w:val="left"/>
              <w:rPr>
                <w:rFonts w:hint="eastAsia" w:ascii="黑体" w:hAnsi="宋体" w:eastAsia="黑体" w:cs="黑体"/>
                <w:b/>
                <w:i w:val="0"/>
                <w:color w:val="000000"/>
                <w:sz w:val="18"/>
                <w:szCs w:val="18"/>
                <w:u w:val="none"/>
              </w:rPr>
            </w:pPr>
          </w:p>
        </w:tc>
        <w:tc>
          <w:tcPr>
            <w:tcW w:w="1128"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hd w:val="clear" w:color="auto" w:fill="auto"/>
              <w:jc w:val="left"/>
              <w:rPr>
                <w:rFonts w:hint="eastAsia" w:ascii="黑体" w:hAnsi="宋体" w:eastAsia="黑体" w:cs="黑体"/>
                <w:b/>
                <w:i w:val="0"/>
                <w:color w:val="000000"/>
                <w:sz w:val="18"/>
                <w:szCs w:val="18"/>
                <w:u w:val="none"/>
              </w:rPr>
            </w:pPr>
          </w:p>
        </w:tc>
        <w:tc>
          <w:tcPr>
            <w:tcW w:w="2748"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shd w:val="clear" w:color="auto" w:fill="auto"/>
              <w:jc w:val="left"/>
              <w:rPr>
                <w:rFonts w:hint="eastAsia" w:ascii="黑体" w:hAnsi="宋体" w:eastAsia="黑体" w:cs="黑体"/>
                <w:b/>
                <w:i w:val="0"/>
                <w:color w:val="000000"/>
                <w:sz w:val="18"/>
                <w:szCs w:val="18"/>
                <w:u w:val="none"/>
              </w:rPr>
            </w:pPr>
          </w:p>
        </w:tc>
        <w:tc>
          <w:tcPr>
            <w:tcW w:w="4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全社会</w:t>
            </w:r>
          </w:p>
        </w:tc>
        <w:tc>
          <w:tcPr>
            <w:tcW w:w="6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特定</w:t>
            </w:r>
            <w:r>
              <w:rPr>
                <w:rFonts w:hint="eastAsia" w:ascii="黑体" w:hAnsi="宋体" w:eastAsia="黑体" w:cs="黑体"/>
                <w:b/>
                <w:i w:val="0"/>
                <w:color w:val="000000"/>
                <w:kern w:val="0"/>
                <w:sz w:val="18"/>
                <w:szCs w:val="18"/>
                <w:u w:val="none"/>
                <w:lang w:val="en-US" w:eastAsia="zh-CN" w:bidi="ar"/>
              </w:rPr>
              <w:br w:type="textWrapping"/>
            </w:r>
            <w:r>
              <w:rPr>
                <w:rFonts w:hint="eastAsia" w:ascii="黑体" w:hAnsi="宋体" w:eastAsia="黑体" w:cs="黑体"/>
                <w:b/>
                <w:i w:val="0"/>
                <w:color w:val="000000"/>
                <w:kern w:val="0"/>
                <w:sz w:val="18"/>
                <w:szCs w:val="18"/>
                <w:u w:val="none"/>
                <w:lang w:val="en-US" w:eastAsia="zh-CN" w:bidi="ar"/>
              </w:rPr>
              <w:t>群体</w:t>
            </w:r>
          </w:p>
        </w:tc>
        <w:tc>
          <w:tcPr>
            <w:tcW w:w="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主动</w:t>
            </w:r>
          </w:p>
        </w:tc>
        <w:tc>
          <w:tcPr>
            <w:tcW w:w="5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依申请</w:t>
            </w:r>
          </w:p>
        </w:tc>
        <w:tc>
          <w:tcPr>
            <w:tcW w:w="5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县级</w:t>
            </w:r>
          </w:p>
        </w:tc>
        <w:tc>
          <w:tcPr>
            <w:tcW w:w="5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shd w:val="clear" w:color="auto" w:fill="auto"/>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乡级</w:t>
            </w:r>
          </w:p>
        </w:tc>
      </w:tr>
      <w:tr>
        <w:tblPrEx>
          <w:tblCellMar>
            <w:top w:w="0" w:type="dxa"/>
            <w:left w:w="0" w:type="dxa"/>
            <w:bottom w:w="0" w:type="dxa"/>
            <w:right w:w="0" w:type="dxa"/>
          </w:tblCellMar>
        </w:tblPrEx>
        <w:trPr>
          <w:trHeight w:val="2592" w:hRule="atLeast"/>
          <w:jc w:val="center"/>
        </w:trPr>
        <w:tc>
          <w:tcPr>
            <w:tcW w:w="581"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w:t>
            </w:r>
          </w:p>
        </w:tc>
        <w:tc>
          <w:tcPr>
            <w:tcW w:w="5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政策法规</w:t>
            </w:r>
          </w:p>
        </w:tc>
        <w:tc>
          <w:tcPr>
            <w:tcW w:w="61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税收法律法规</w:t>
            </w:r>
          </w:p>
        </w:tc>
        <w:tc>
          <w:tcPr>
            <w:tcW w:w="25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税务机关履职相关的法律、法规、规章</w:t>
            </w:r>
          </w:p>
        </w:tc>
        <w:tc>
          <w:tcPr>
            <w:tcW w:w="23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2.《国家税务总局关于印发&lt;全面推进政务公开工作实施办法&gt;的通知》（税总发〔2017〕44号） </w:t>
            </w: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自该政府信息形成或者变更之日起20个工作日内及时公开</w:t>
            </w:r>
          </w:p>
        </w:tc>
        <w:tc>
          <w:tcPr>
            <w:tcW w:w="11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政府网站   </w:t>
            </w:r>
            <w:bookmarkStart w:id="0" w:name="_GoBack"/>
            <w:bookmarkEnd w:id="0"/>
            <w:r>
              <w:rPr>
                <w:rFonts w:hint="eastAsia" w:ascii="宋体" w:hAnsi="宋体" w:eastAsia="宋体" w:cs="宋体"/>
                <w:i w:val="0"/>
                <w:color w:val="000000"/>
                <w:kern w:val="0"/>
                <w:sz w:val="18"/>
                <w:szCs w:val="18"/>
                <w:u w:val="none"/>
                <w:lang w:val="en-US" w:eastAsia="zh-CN" w:bidi="ar"/>
              </w:rPr>
              <w:sym w:font="Wingdings 2" w:char="00A3"/>
            </w:r>
            <w:r>
              <w:rPr>
                <w:rFonts w:hint="eastAsia" w:ascii="宋体" w:hAnsi="宋体" w:eastAsia="宋体" w:cs="宋体"/>
                <w:i w:val="0"/>
                <w:color w:val="000000"/>
                <w:kern w:val="0"/>
                <w:sz w:val="18"/>
                <w:szCs w:val="18"/>
                <w:u w:val="none"/>
                <w:lang w:val="en-US" w:eastAsia="zh-CN" w:bidi="ar"/>
              </w:rPr>
              <w:t xml:space="preserve">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700" w:hRule="atLeast"/>
          <w:jc w:val="center"/>
        </w:trPr>
        <w:tc>
          <w:tcPr>
            <w:tcW w:w="581" w:type="dxa"/>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w:t>
            </w:r>
          </w:p>
        </w:tc>
        <w:tc>
          <w:tcPr>
            <w:tcW w:w="560"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61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税收规范性文件</w:t>
            </w:r>
          </w:p>
        </w:tc>
        <w:tc>
          <w:tcPr>
            <w:tcW w:w="259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税务机关履职相关的规范性文件</w:t>
            </w:r>
          </w:p>
        </w:tc>
        <w:tc>
          <w:tcPr>
            <w:tcW w:w="236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2.《国家税务总局关于印发&lt;全面推进政务公开工作实施办法&gt;的通知》（税总发〔2017〕44号） </w:t>
            </w:r>
          </w:p>
        </w:tc>
        <w:tc>
          <w:tcPr>
            <w:tcW w:w="1140"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自该政府信息形成或者变更之日起20个工作日内及时公开</w:t>
            </w:r>
          </w:p>
        </w:tc>
        <w:tc>
          <w:tcPr>
            <w:tcW w:w="112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80"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w:t>
            </w:r>
          </w:p>
        </w:tc>
        <w:tc>
          <w:tcPr>
            <w:tcW w:w="56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纳税服务</w:t>
            </w: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纳税人权利</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税收法律法规规定的纳税人权利</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1.《中华人民共和国税收征收管理法》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2.《国家税务总局关于纳税人权利与义务的公告》（公告2009年第1号）</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自该政府信息形成或者变更之日起20个工作日内及时公开</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68"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4</w:t>
            </w:r>
          </w:p>
        </w:tc>
        <w:tc>
          <w:tcPr>
            <w:tcW w:w="5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纳税人义务</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税收法律法规规定的纳税人义务</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1.《中华人民共和国税收征收管理法》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2.《国家税务总局关于纳税人权利与义务的公告》（公告2009年第1号）</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自该政府信息形成或者变更之日起20个工作日内及时公开</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503"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5</w:t>
            </w:r>
          </w:p>
        </w:tc>
        <w:tc>
          <w:tcPr>
            <w:tcW w:w="5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A级纳税人名单</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1.纳税人识别号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2.纳税人名称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3.评价年度</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1.《国家税务总局关于明确纳税信用管理若干业务口径的公告》（国家税务总局公告2015年第85号）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2.《国家税务总局关于印发&lt;全面推进政务公开工作实施办法&gt;的通知》（税总发〔2017〕44号） </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自该政府信息形成或者变更之日起20个工作日内及时公开</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948"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6</w:t>
            </w:r>
          </w:p>
        </w:tc>
        <w:tc>
          <w:tcPr>
            <w:tcW w:w="5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涉税专业服务相关信息</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1.纳入监管的涉税专业服务机构名单及其信用情况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2.未经行政登记的税务师事务所名单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3.涉税服务失信名录</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1.《涉税专业服务监管办法（试行）》（国家税务总局公告2017年第13号）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2.《涉税专业服务信用评价管理办法（试行）》（国家税务总局公告2017年第48号）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3.《国家税务总局关于印发&lt;全国税务系统深化“放管服”改革五年工作方案（2018年-2022年）全面推进政务公开工作实施办法&gt;的通知》（税总发〔2018〕199号）</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自该政府信息形成或者变更之日起20个工作日内及时公开</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85"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7</w:t>
            </w:r>
          </w:p>
        </w:tc>
        <w:tc>
          <w:tcPr>
            <w:tcW w:w="5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办税地图</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1.办税服务厅名称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4.办公时间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5.主要职责</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《国家税务总局关于印发&lt;全面推进政务公开工作实施办法&gt;的通知》（税总发〔2017〕44号） </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自该政府信息形成或者变更之日起20个工作日内及时公开</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75"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8</w:t>
            </w:r>
          </w:p>
        </w:tc>
        <w:tc>
          <w:tcPr>
            <w:tcW w:w="5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办税日历</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4"/>
                <w:sz w:val="18"/>
                <w:szCs w:val="18"/>
                <w:lang w:val="en-US" w:eastAsia="zh-CN" w:bidi="ar"/>
              </w:rPr>
              <w:t>1.申报征收期</w:t>
            </w:r>
            <w:r>
              <w:rPr>
                <w:rStyle w:val="4"/>
                <w:sz w:val="18"/>
                <w:szCs w:val="18"/>
                <w:lang w:val="en-US" w:eastAsia="zh-CN" w:bidi="ar"/>
              </w:rPr>
              <w:br w:type="textWrapping"/>
            </w:r>
            <w:r>
              <w:rPr>
                <w:rStyle w:val="4"/>
                <w:sz w:val="18"/>
                <w:szCs w:val="18"/>
                <w:lang w:val="en-US" w:eastAsia="zh-CN" w:bidi="ar"/>
              </w:rPr>
              <w:t>2.申报征收项目</w:t>
            </w:r>
            <w:r>
              <w:rPr>
                <w:rStyle w:val="4"/>
                <w:sz w:val="18"/>
                <w:szCs w:val="18"/>
                <w:lang w:val="en-US" w:eastAsia="zh-CN" w:bidi="ar"/>
              </w:rPr>
              <w:br w:type="textWrapping"/>
            </w:r>
            <w:r>
              <w:rPr>
                <w:rStyle w:val="4"/>
                <w:sz w:val="18"/>
                <w:szCs w:val="18"/>
                <w:lang w:val="en-US" w:eastAsia="zh-CN" w:bidi="ar"/>
              </w:rPr>
              <w:t>3.备注</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《国家税务总局关于印发&lt;全面推进政务公开工作实施办法&gt;的通知》（税总发〔2017〕44号） </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自该政府信息形成或者变更之日起20个工作日内及时公开</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78"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9</w:t>
            </w:r>
          </w:p>
        </w:tc>
        <w:tc>
          <w:tcPr>
            <w:tcW w:w="5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办税指南</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4"/>
                <w:sz w:val="18"/>
                <w:szCs w:val="18"/>
                <w:lang w:val="en-US" w:eastAsia="zh-CN" w:bidi="ar"/>
              </w:rPr>
              <w:t>1.事项名称</w:t>
            </w:r>
            <w:r>
              <w:rPr>
                <w:rStyle w:val="4"/>
                <w:sz w:val="18"/>
                <w:szCs w:val="18"/>
                <w:lang w:val="en-US" w:eastAsia="zh-CN" w:bidi="ar"/>
              </w:rPr>
              <w:br w:type="textWrapping"/>
            </w:r>
            <w:r>
              <w:rPr>
                <w:rStyle w:val="4"/>
                <w:sz w:val="18"/>
                <w:szCs w:val="18"/>
                <w:lang w:val="en-US" w:eastAsia="zh-CN" w:bidi="ar"/>
              </w:rPr>
              <w:t xml:space="preserve">2.设定依据 </w:t>
            </w:r>
            <w:r>
              <w:rPr>
                <w:rStyle w:val="4"/>
                <w:sz w:val="18"/>
                <w:szCs w:val="18"/>
                <w:lang w:val="en-US" w:eastAsia="zh-CN" w:bidi="ar"/>
              </w:rPr>
              <w:br w:type="textWrapping"/>
            </w:r>
            <w:r>
              <w:rPr>
                <w:rStyle w:val="4"/>
                <w:sz w:val="18"/>
                <w:szCs w:val="18"/>
                <w:lang w:val="en-US" w:eastAsia="zh-CN" w:bidi="ar"/>
              </w:rPr>
              <w:t>3.申请条件</w:t>
            </w:r>
            <w:r>
              <w:rPr>
                <w:rStyle w:val="4"/>
                <w:sz w:val="18"/>
                <w:szCs w:val="18"/>
                <w:lang w:val="en-US" w:eastAsia="zh-CN" w:bidi="ar"/>
              </w:rPr>
              <w:br w:type="textWrapping"/>
            </w:r>
            <w:r>
              <w:rPr>
                <w:rStyle w:val="4"/>
                <w:sz w:val="18"/>
                <w:szCs w:val="18"/>
                <w:lang w:val="en-US" w:eastAsia="zh-CN" w:bidi="ar"/>
              </w:rPr>
              <w:t>4.办理材料</w:t>
            </w:r>
            <w:r>
              <w:rPr>
                <w:rStyle w:val="4"/>
                <w:sz w:val="18"/>
                <w:szCs w:val="18"/>
                <w:lang w:val="en-US" w:eastAsia="zh-CN" w:bidi="ar"/>
              </w:rPr>
              <w:br w:type="textWrapping"/>
            </w:r>
            <w:r>
              <w:rPr>
                <w:rStyle w:val="4"/>
                <w:sz w:val="18"/>
                <w:szCs w:val="18"/>
                <w:lang w:val="en-US" w:eastAsia="zh-CN" w:bidi="ar"/>
              </w:rPr>
              <w:t>5.办理地点</w:t>
            </w:r>
            <w:r>
              <w:rPr>
                <w:rStyle w:val="4"/>
                <w:sz w:val="18"/>
                <w:szCs w:val="18"/>
                <w:lang w:val="en-US" w:eastAsia="zh-CN" w:bidi="ar"/>
              </w:rPr>
              <w:br w:type="textWrapping"/>
            </w:r>
            <w:r>
              <w:rPr>
                <w:rStyle w:val="4"/>
                <w:sz w:val="18"/>
                <w:szCs w:val="18"/>
                <w:lang w:val="en-US" w:eastAsia="zh-CN" w:bidi="ar"/>
              </w:rPr>
              <w:t>6.办理机构</w:t>
            </w:r>
            <w:r>
              <w:rPr>
                <w:rStyle w:val="4"/>
                <w:sz w:val="18"/>
                <w:szCs w:val="18"/>
                <w:lang w:val="en-US" w:eastAsia="zh-CN" w:bidi="ar"/>
              </w:rPr>
              <w:br w:type="textWrapping"/>
            </w:r>
            <w:r>
              <w:rPr>
                <w:rStyle w:val="4"/>
                <w:sz w:val="18"/>
                <w:szCs w:val="18"/>
                <w:lang w:val="en-US" w:eastAsia="zh-CN" w:bidi="ar"/>
              </w:rPr>
              <w:t>7.收费标准</w:t>
            </w:r>
            <w:r>
              <w:rPr>
                <w:rStyle w:val="4"/>
                <w:sz w:val="18"/>
                <w:szCs w:val="18"/>
                <w:lang w:val="en-US" w:eastAsia="zh-CN" w:bidi="ar"/>
              </w:rPr>
              <w:br w:type="textWrapping"/>
            </w:r>
            <w:r>
              <w:rPr>
                <w:rStyle w:val="4"/>
                <w:sz w:val="18"/>
                <w:szCs w:val="18"/>
                <w:lang w:val="en-US" w:eastAsia="zh-CN" w:bidi="ar"/>
              </w:rPr>
              <w:t>8.办理时间</w:t>
            </w:r>
            <w:r>
              <w:rPr>
                <w:rStyle w:val="4"/>
                <w:sz w:val="18"/>
                <w:szCs w:val="18"/>
                <w:lang w:val="en-US" w:eastAsia="zh-CN" w:bidi="ar"/>
              </w:rPr>
              <w:br w:type="textWrapping"/>
            </w:r>
            <w:r>
              <w:rPr>
                <w:rStyle w:val="4"/>
                <w:sz w:val="18"/>
                <w:szCs w:val="18"/>
                <w:lang w:val="en-US" w:eastAsia="zh-CN" w:bidi="ar"/>
              </w:rPr>
              <w:t>9.联系电话</w:t>
            </w:r>
            <w:r>
              <w:rPr>
                <w:rStyle w:val="4"/>
                <w:sz w:val="18"/>
                <w:szCs w:val="18"/>
                <w:lang w:val="en-US" w:eastAsia="zh-CN" w:bidi="ar"/>
              </w:rPr>
              <w:br w:type="textWrapping"/>
            </w:r>
            <w:r>
              <w:rPr>
                <w:rStyle w:val="4"/>
                <w:sz w:val="18"/>
                <w:szCs w:val="18"/>
                <w:lang w:val="en-US" w:eastAsia="zh-CN" w:bidi="ar"/>
              </w:rPr>
              <w:t>10.办理流程</w:t>
            </w:r>
            <w:r>
              <w:rPr>
                <w:rStyle w:val="4"/>
                <w:sz w:val="18"/>
                <w:szCs w:val="18"/>
                <w:lang w:val="en-US" w:eastAsia="zh-CN" w:bidi="ar"/>
              </w:rPr>
              <w:br w:type="textWrapping"/>
            </w:r>
            <w:r>
              <w:rPr>
                <w:rStyle w:val="4"/>
                <w:sz w:val="18"/>
                <w:szCs w:val="18"/>
                <w:lang w:val="en-US" w:eastAsia="zh-CN" w:bidi="ar"/>
              </w:rPr>
              <w:t>11.纳税人注意事项</w:t>
            </w:r>
            <w:r>
              <w:rPr>
                <w:rStyle w:val="4"/>
                <w:sz w:val="18"/>
                <w:szCs w:val="18"/>
                <w:lang w:val="en-US" w:eastAsia="zh-CN" w:bidi="ar"/>
              </w:rPr>
              <w:br w:type="textWrapping"/>
            </w:r>
            <w:r>
              <w:rPr>
                <w:rStyle w:val="4"/>
                <w:sz w:val="18"/>
                <w:szCs w:val="18"/>
                <w:lang w:val="en-US" w:eastAsia="zh-CN" w:bidi="ar"/>
              </w:rPr>
              <w:t>12.政策依据</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《国家税务总局关于印发&lt;全面推进政务公开工作实施办法&gt;的通知》（税总发〔2017〕44号） </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自该政府信息形成或者变更之日起20个工作日内及时公开</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bottom"/>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bottom"/>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bottom"/>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13"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10</w:t>
            </w:r>
          </w:p>
        </w:tc>
        <w:tc>
          <w:tcPr>
            <w:tcW w:w="56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行政执法</w:t>
            </w: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权责清单</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1.职权名称           2.设定依据            3.履责方式             4.追责情形            5.权责事项信息表（包括基本信息、办理信息、监管措施、咨询查询、行政相对人责任、监督责任、法律救济、行政职权运行流程图等）           </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《国家税务总局关于印发&lt;全面推进政务公开工作实施办法&gt;的通知》（税总发〔2017〕44号） </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自该政府信息形成或者变更之日起20个工作日内及时公开</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659"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11</w:t>
            </w:r>
          </w:p>
        </w:tc>
        <w:tc>
          <w:tcPr>
            <w:tcW w:w="5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8"/>
                <w:szCs w:val="18"/>
                <w:u w:val="none"/>
              </w:rPr>
            </w:pP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准予行政许可决定公示</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Style w:val="4"/>
                <w:sz w:val="18"/>
                <w:szCs w:val="18"/>
                <w:lang w:val="en-US" w:eastAsia="zh-CN" w:bidi="ar"/>
              </w:rPr>
              <w:t>1.行政许可决定书及其文号</w:t>
            </w:r>
            <w:r>
              <w:rPr>
                <w:rStyle w:val="4"/>
                <w:sz w:val="18"/>
                <w:szCs w:val="18"/>
                <w:lang w:val="en-US" w:eastAsia="zh-CN" w:bidi="ar"/>
              </w:rPr>
              <w:br w:type="textWrapping"/>
            </w:r>
            <w:r>
              <w:rPr>
                <w:rStyle w:val="4"/>
                <w:sz w:val="18"/>
                <w:szCs w:val="18"/>
                <w:lang w:val="en-US" w:eastAsia="zh-CN" w:bidi="ar"/>
              </w:rPr>
              <w:t>2.设定依据</w:t>
            </w:r>
            <w:r>
              <w:rPr>
                <w:rStyle w:val="4"/>
                <w:sz w:val="18"/>
                <w:szCs w:val="18"/>
                <w:lang w:val="en-US" w:eastAsia="zh-CN" w:bidi="ar"/>
              </w:rPr>
              <w:br w:type="textWrapping"/>
            </w:r>
            <w:r>
              <w:rPr>
                <w:rStyle w:val="4"/>
                <w:sz w:val="18"/>
                <w:szCs w:val="18"/>
                <w:lang w:val="en-US" w:eastAsia="zh-CN" w:bidi="ar"/>
              </w:rPr>
              <w:t>3.项目名称</w:t>
            </w:r>
            <w:r>
              <w:rPr>
                <w:rStyle w:val="4"/>
                <w:sz w:val="18"/>
                <w:szCs w:val="18"/>
                <w:lang w:val="en-US" w:eastAsia="zh-CN" w:bidi="ar"/>
              </w:rPr>
              <w:br w:type="textWrapping"/>
            </w:r>
            <w:r>
              <w:rPr>
                <w:rStyle w:val="4"/>
                <w:sz w:val="18"/>
                <w:szCs w:val="18"/>
                <w:lang w:val="en-US" w:eastAsia="zh-CN" w:bidi="ar"/>
              </w:rPr>
              <w:t>4.行政相对人统一社会信用代码</w:t>
            </w:r>
            <w:r>
              <w:rPr>
                <w:rStyle w:val="4"/>
                <w:sz w:val="18"/>
                <w:szCs w:val="18"/>
                <w:lang w:val="en-US" w:eastAsia="zh-CN" w:bidi="ar"/>
              </w:rPr>
              <w:br w:type="textWrapping"/>
            </w:r>
            <w:r>
              <w:rPr>
                <w:rStyle w:val="4"/>
                <w:sz w:val="18"/>
                <w:szCs w:val="18"/>
                <w:lang w:val="en-US" w:eastAsia="zh-CN" w:bidi="ar"/>
              </w:rPr>
              <w:t>5.审批部门</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《国家税务总局办公厅关于做好行政许可和行政处罚等信用信息公示工作的通知》（税总办发〔2016〕19号）</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在做出行政许可决定之日起7个工作日内完成公示</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322"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12</w:t>
            </w:r>
          </w:p>
        </w:tc>
        <w:tc>
          <w:tcPr>
            <w:tcW w:w="5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8"/>
                <w:szCs w:val="18"/>
                <w:u w:val="none"/>
              </w:rPr>
            </w:pP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行政处罚决定和结果公示</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Style w:val="4"/>
                <w:sz w:val="18"/>
                <w:szCs w:val="18"/>
                <w:lang w:val="en-US" w:eastAsia="zh-CN" w:bidi="ar"/>
              </w:rPr>
              <w:t>1.行政处罚决定书文号</w:t>
            </w:r>
            <w:r>
              <w:rPr>
                <w:rStyle w:val="4"/>
                <w:sz w:val="18"/>
                <w:szCs w:val="18"/>
                <w:lang w:val="en-US" w:eastAsia="zh-CN" w:bidi="ar"/>
              </w:rPr>
              <w:br w:type="textWrapping"/>
            </w:r>
            <w:r>
              <w:rPr>
                <w:rStyle w:val="4"/>
                <w:sz w:val="18"/>
                <w:szCs w:val="18"/>
                <w:lang w:val="en-US" w:eastAsia="zh-CN" w:bidi="ar"/>
              </w:rPr>
              <w:t>2.执法依据</w:t>
            </w:r>
            <w:r>
              <w:rPr>
                <w:rStyle w:val="4"/>
                <w:sz w:val="18"/>
                <w:szCs w:val="18"/>
                <w:lang w:val="en-US" w:eastAsia="zh-CN" w:bidi="ar"/>
              </w:rPr>
              <w:br w:type="textWrapping"/>
            </w:r>
            <w:r>
              <w:rPr>
                <w:rStyle w:val="4"/>
                <w:sz w:val="18"/>
                <w:szCs w:val="18"/>
                <w:lang w:val="en-US" w:eastAsia="zh-CN" w:bidi="ar"/>
              </w:rPr>
              <w:t>3.案件名称</w:t>
            </w:r>
            <w:r>
              <w:rPr>
                <w:rStyle w:val="4"/>
                <w:sz w:val="18"/>
                <w:szCs w:val="18"/>
                <w:lang w:val="en-US" w:eastAsia="zh-CN" w:bidi="ar"/>
              </w:rPr>
              <w:br w:type="textWrapping"/>
            </w:r>
            <w:r>
              <w:rPr>
                <w:rStyle w:val="4"/>
                <w:sz w:val="18"/>
                <w:szCs w:val="18"/>
                <w:lang w:val="en-US" w:eastAsia="zh-CN" w:bidi="ar"/>
              </w:rPr>
              <w:t>4.行政相对人统一社会信用代码</w:t>
            </w:r>
            <w:r>
              <w:rPr>
                <w:rStyle w:val="4"/>
                <w:sz w:val="18"/>
                <w:szCs w:val="18"/>
                <w:lang w:val="en-US" w:eastAsia="zh-CN" w:bidi="ar"/>
              </w:rPr>
              <w:br w:type="textWrapping"/>
            </w:r>
            <w:r>
              <w:rPr>
                <w:rStyle w:val="4"/>
                <w:sz w:val="18"/>
                <w:szCs w:val="18"/>
                <w:lang w:val="en-US" w:eastAsia="zh-CN" w:bidi="ar"/>
              </w:rPr>
              <w:t>5.处罚事由</w:t>
            </w:r>
            <w:r>
              <w:rPr>
                <w:rStyle w:val="4"/>
                <w:sz w:val="18"/>
                <w:szCs w:val="18"/>
                <w:lang w:val="en-US" w:eastAsia="zh-CN" w:bidi="ar"/>
              </w:rPr>
              <w:br w:type="textWrapping"/>
            </w:r>
            <w:r>
              <w:rPr>
                <w:rStyle w:val="4"/>
                <w:sz w:val="18"/>
                <w:szCs w:val="18"/>
                <w:lang w:val="en-US" w:eastAsia="zh-CN" w:bidi="ar"/>
              </w:rPr>
              <w:t>6.作出处罚决定的部门</w:t>
            </w:r>
            <w:r>
              <w:rPr>
                <w:rStyle w:val="4"/>
                <w:sz w:val="18"/>
                <w:szCs w:val="18"/>
                <w:lang w:val="en-US" w:eastAsia="zh-CN" w:bidi="ar"/>
              </w:rPr>
              <w:br w:type="textWrapping"/>
            </w:r>
            <w:r>
              <w:rPr>
                <w:rStyle w:val="4"/>
                <w:sz w:val="18"/>
                <w:szCs w:val="18"/>
                <w:lang w:val="en-US" w:eastAsia="zh-CN" w:bidi="ar"/>
              </w:rPr>
              <w:t>7.处罚结果</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1.《国家税务总局关于印发&lt;全面推进政务公开工作实施办法&gt;的通知》（税总发〔2017〕44号）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2.《国家税务总局办公厅关于做好行政许可和行政处罚等信用信息公示工作的通知》（税总办发〔2016〕19号）                             </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在做出行政处罚决定之日起7个工作日内完成公示</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442"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13</w:t>
            </w:r>
          </w:p>
        </w:tc>
        <w:tc>
          <w:tcPr>
            <w:tcW w:w="5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8"/>
                <w:szCs w:val="18"/>
                <w:u w:val="none"/>
              </w:rPr>
            </w:pP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非正常户公告</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税人为企业或单位的，公告企业或单位的名称、纳税人识别号、法定代表人或负责人姓名、居民身份证或其他有效身份证件号码（隐去出生年、月、日6位数）、经营地点；纳税人为个体工商户的，公告业户名称、业主姓名、纳税人识别号、居民身份证或其他有效身份证件号码（隐去出生年、月、日6位数）、经营地点</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1.《中华人民共和国税收征收管理法》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2.《中华人民共和国税收征收管理法实施细则》(国务院令第362号公布,国务院令第666号《国务院关于修改部分行政法规的决定》第三次修订)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3.《国家税务总局关于进一步完善税务登记管理有关问题的公告》（国家税务总局公告 2011年第21号）</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在非正常户认定的次月公告非正常户</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628" w:hRule="atLeast"/>
          <w:jc w:val="center"/>
        </w:trPr>
        <w:tc>
          <w:tcPr>
            <w:tcW w:w="5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14</w:t>
            </w:r>
          </w:p>
        </w:tc>
        <w:tc>
          <w:tcPr>
            <w:tcW w:w="5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b/>
                <w:i w:val="0"/>
                <w:color w:val="000000"/>
                <w:sz w:val="18"/>
                <w:szCs w:val="18"/>
                <w:u w:val="none"/>
              </w:rPr>
            </w:pPr>
          </w:p>
        </w:tc>
        <w:tc>
          <w:tcPr>
            <w:tcW w:w="61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欠税公告</w:t>
            </w:r>
          </w:p>
        </w:tc>
        <w:tc>
          <w:tcPr>
            <w:tcW w:w="259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1.企业或单位欠税的：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公告企业或单位的名称、纳税人识别号、法定代表人或负责人姓名、居民身份证或其他有效身份证件号码（隐去出生年、月、日6位数）、经营地点、欠税税种、欠税余额和当期新发生的欠税金额；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2.个体工商户欠税的：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公告业户名称、业主姓名、纳税人识别号、居民身份证或其他有效身份证件号码（隐去出生年、月、日6位数）、经营地点、欠税税种、欠税余额和当期新发生的欠税金额；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3.个人（不含个体工商户）欠税的：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公告其姓名、居民身份证或其他有效身份证件号码（隐去出生年、月、日6位数）、欠税税种、欠税余额和当期新发生的欠税金额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4.对走逃、失踪的纳税户以及其他经税务机关查无下落的纳税人欠税的，由各省、自治区、直辖市和计划单列市税务局公告 </w:t>
            </w:r>
          </w:p>
        </w:tc>
        <w:tc>
          <w:tcPr>
            <w:tcW w:w="236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1.《中华人民共和国税收征收管理法》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2.《中华人民共和国税收征收管理法实施细则》(国务院令第362号公布,国务院令第666号《国务院关于修改部分行政法规的决定》第三次修订)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3.《欠税公告办法（试行）》（国家税务总局令第 9 号）</w:t>
            </w:r>
          </w:p>
        </w:tc>
        <w:tc>
          <w:tcPr>
            <w:tcW w:w="11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企业或单位欠税的，每季公告一次；个体工商户和其他个人欠税的，每半年公告一次；走逃、失踪的纳税户以及其他经税务机关查无下落的非正常户欠税的，随时公告</w:t>
            </w:r>
          </w:p>
        </w:tc>
        <w:tc>
          <w:tcPr>
            <w:tcW w:w="112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税务主管部门</w:t>
            </w:r>
          </w:p>
        </w:tc>
        <w:tc>
          <w:tcPr>
            <w:tcW w:w="274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政府网站   □ 政府公报    □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广播电视   □ 纸质媒体    □ 公开查阅点 □ 政务服务中心 □ 便民服务站 □ 入户/现场   □ 社区/企事业单位/村公示栏（电子屏）                      </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both"/>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 xml:space="preserve"> 精准推送 ■ 其他：办税服务厅                                                          </w:t>
            </w:r>
          </w:p>
        </w:tc>
        <w:tc>
          <w:tcPr>
            <w:tcW w:w="4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0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5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5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hd w:val="clear" w:color="auto" w:fill="auto"/>
              <w:kinsoku/>
              <w:wordWrap/>
              <w:overflowPunct/>
              <w:topLinePunct w:val="0"/>
              <w:autoSpaceDE/>
              <w:autoSpaceDN/>
              <w:bidi w:val="0"/>
              <w:adjustRightInd/>
              <w:snapToGrid/>
              <w:spacing w:line="200" w:lineRule="exact"/>
              <w:jc w:val="center"/>
              <w:rPr>
                <w:rFonts w:hint="eastAsia" w:ascii="宋体" w:hAnsi="宋体" w:eastAsia="宋体" w:cs="宋体"/>
                <w:i w:val="0"/>
                <w:color w:val="000000"/>
                <w:sz w:val="18"/>
                <w:szCs w:val="18"/>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D22F4"/>
    <w:rsid w:val="666D2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8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2020-11-03T02:41:00Z</dcterms:created>
  <dc:creator>办公室马小巧</dc:creator>
  <cp:lastModifiedBy>办公室马小巧</cp:lastModifiedBy>
  <dcterms:modified xsi:type="dcterms:W3CDTF">2020-11-03T02:50:43Z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