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75" w:tblpY="930"/>
        <w:tblOverlap w:val="never"/>
        <w:tblW w:w="1486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546"/>
        <w:gridCol w:w="528"/>
        <w:gridCol w:w="6996"/>
        <w:gridCol w:w="1008"/>
        <w:gridCol w:w="816"/>
        <w:gridCol w:w="792"/>
        <w:gridCol w:w="696"/>
        <w:gridCol w:w="528"/>
        <w:gridCol w:w="528"/>
        <w:gridCol w:w="528"/>
        <w:gridCol w:w="564"/>
        <w:gridCol w:w="444"/>
        <w:gridCol w:w="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4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6996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590"/>
                <w:tab w:val="center" w:pos="2727"/>
              </w:tabs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-672465</wp:posOffset>
                      </wp:positionV>
                      <wp:extent cx="5988685" cy="55626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439035" y="1031875"/>
                                <a:ext cx="5988685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color w:val="auto"/>
                                      <w:sz w:val="44"/>
                                      <w:szCs w:val="44"/>
                                    </w:rPr>
                                    <w:t>尉氏县财政预决算领域基层政务公开标准目录</w:t>
                                  </w: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color w:val="FF0000"/>
                                      <w:sz w:val="44"/>
                                      <w:szCs w:val="44"/>
                                    </w:rPr>
                                    <w:t>尉氏县财政预决算领域基层政务公开标准目录</w:t>
                                  </w: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44"/>
                                      <w:szCs w:val="44"/>
                                    </w:rPr>
                                    <w:t>录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 w:ascii="方正小标宋简体" w:hAnsi="方正小标宋简体" w:eastAsia="方正小标宋简体" w:cs="方正小标宋简体"/>
                                      <w:sz w:val="44"/>
                                      <w:szCs w:val="44"/>
                                    </w:rPr>
                                    <w:t>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9.2pt;margin-top:-52.95pt;height:43.8pt;width:471.55pt;z-index:251658240;mso-width-relative:page;mso-height-relative:page;" filled="f" stroked="f" coordsize="21600,21600" o:gfxdata="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EC1RO3AAAAA0BAAAPAAAAAAAAAAEAIAAAACIAAABkcnMvZG93bnJl&#10;di54bWxQSwECFAAUAAAACACHTuJAysptWjICAAAyBAAADgAAAAAAAAABACAAAAArAQAAZHJzL2Uy&#10;b0RvYy54bWxQSwUGAAAAAAYABgBZAQAAzw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auto"/>
                                <w:sz w:val="44"/>
                                <w:szCs w:val="44"/>
                              </w:rPr>
                              <w:t>尉氏县财政预决算领域基层政务公开标准目录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44"/>
                                <w:szCs w:val="44"/>
                              </w:rPr>
                              <w:t>尉氏县财政预决算领域基层政务公开标准目录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  <w:t>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sz w:val="44"/>
                                <w:szCs w:val="44"/>
                              </w:rPr>
                              <w:t>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ab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tabs>
                <w:tab w:val="left" w:pos="1590"/>
                <w:tab w:val="center" w:pos="2727"/>
              </w:tabs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100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056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09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894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5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6996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528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56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44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4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4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一般公共预算：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（1）一般公共预算收入表。（2）一般公共预算支出表。（3）一般公共预算本级支出表。（4）一般公共预算本级基本支出表。（5）一般公共预算税收返还和转移支付表。（6）政府一般债务限额和余额情况表。</w:t>
            </w:r>
          </w:p>
        </w:tc>
        <w:tc>
          <w:tcPr>
            <w:tcW w:w="100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本级人民代表大会或其常务委员会批准后20日内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县区各级财政部门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财政部门网站公开平台</w:t>
            </w:r>
          </w:p>
          <w:p>
            <w:pPr>
              <w:spacing w:line="240" w:lineRule="exac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2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4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5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政府性基金预算：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（1）政府性基金收入表。（2）政府性基金支出表。（3）本级政府性基金支出表。（4）政府性基金转移支付表。（5）政府专项债务限额和余额情况表。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国有资本经营预算：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（1）国有资本经营预算收入表。（2）国有资本经营预算支出表。（3）本级国有资本经营预算支出表。（4）对下安排转移支付的应当公开国有资本经营预算转移支付表。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社会保险基金预算：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（1）社会保险基金收入表。（2）社会保险基金支出表。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进行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方政府债务限额、余额、使用安排及还本付息等信息，包括：（1）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（2）随同调整预算公开当年本地区及本级地方政府债务限额、本级新增地方政府债券资金使用安排等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4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6996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abs>
                <w:tab w:val="left" w:pos="1590"/>
                <w:tab w:val="center" w:pos="2727"/>
              </w:tabs>
              <w:spacing w:line="240" w:lineRule="exact"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ab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ab/>
            </w:r>
          </w:p>
          <w:p>
            <w:pPr>
              <w:widowControl/>
              <w:tabs>
                <w:tab w:val="left" w:pos="1590"/>
                <w:tab w:val="center" w:pos="2727"/>
              </w:tabs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100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056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09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894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6996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56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44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4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4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府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般公共预算：（1）一般公共预算收支表。（2）一般公共预算收入表。（3）一般公共预算支出表。（4）一般公共预算支出明细表。（5）一般预算（基本）经济分类表。（6）县本级一般公共预算支出表。（7）县本级一般公共预算（基本）支出预算经济分类表。（8）本级一般预算转移性收入表。（9）本级一般预算转移性支出表。（10）三公经费支出表。（11）一般公共预算转移支付表。</w:t>
            </w:r>
          </w:p>
        </w:tc>
        <w:tc>
          <w:tcPr>
            <w:tcW w:w="100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本级人民代表大会或其常务委员会批准后20日内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县级财政部门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财政部门网站公开平台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2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ind w:right="2577" w:rightChars="1227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4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ind w:left="-1680" w:leftChars="-800" w:firstLine="86" w:firstLineChars="48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5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府性基金预算：（1）政府性基金收支总表。（2）政府性基金收入表。（3）政府性基金支出表。（3）本级政府性基金收支表。（4）本级政府性基金收入表。（5）本级政府性基金支出表。（6）政府性基金转移支付表。（7）政府性基金支出明细表。（8）地方政府债务余额表。（9）地方政府专项债务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国有资本经营预算：（1）国有资本经营预算收支表。（2）国有资本经营预算收入表。（3）国有资本经营预算支出表。（4）本级国有资本经营预算收支表。（5）本级国有资本经营预算支出表。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社会保险基金预算：（1）社会保险基金预算收支及结余表。（2）社会保险基金预算收入表。（3）社会保险基金预算支出表。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ind w:firstLine="444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4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6996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100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056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09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894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公共层级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6996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56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44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4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54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收支总体情况表：（1）部门收支总体情况表。（2）部门收入总体情况表。（3）部门支出总体情况表。</w:t>
            </w:r>
          </w:p>
        </w:tc>
        <w:tc>
          <w:tcPr>
            <w:tcW w:w="100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本级政府财政部门批复后20日内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县区各级预算部门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部门网站、政府网站、政府公报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2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4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5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财政拨款收支情况表：（1）财政拨款收支总体情况表。（2）一般公共预算支出情况表。（3）一般公共预算基本支出情况表。（4）一般公共预算“三公”经费支出情况表。（5）政府性基金预算支出情况表。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4" w:type="dxa"/>
            <w:gridSpan w:val="2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公开事项</w:t>
            </w:r>
          </w:p>
        </w:tc>
        <w:tc>
          <w:tcPr>
            <w:tcW w:w="6996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公开内容（要素）及要求</w:t>
            </w:r>
          </w:p>
        </w:tc>
        <w:tc>
          <w:tcPr>
            <w:tcW w:w="100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公开依据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公开时限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公开主体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公开渠道和载体</w:t>
            </w:r>
          </w:p>
        </w:tc>
        <w:tc>
          <w:tcPr>
            <w:tcW w:w="1056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公开对象</w:t>
            </w:r>
          </w:p>
        </w:tc>
        <w:tc>
          <w:tcPr>
            <w:tcW w:w="1092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公开方式</w:t>
            </w:r>
          </w:p>
        </w:tc>
        <w:tc>
          <w:tcPr>
            <w:tcW w:w="894" w:type="dxa"/>
            <w:gridSpan w:val="2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公共层级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一级事项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二级事项</w:t>
            </w:r>
          </w:p>
        </w:tc>
        <w:tc>
          <w:tcPr>
            <w:tcW w:w="6996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全社会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特定群体</w:t>
            </w:r>
          </w:p>
        </w:tc>
        <w:tc>
          <w:tcPr>
            <w:tcW w:w="5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主动</w:t>
            </w:r>
          </w:p>
        </w:tc>
        <w:tc>
          <w:tcPr>
            <w:tcW w:w="56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依申请</w:t>
            </w:r>
          </w:p>
        </w:tc>
        <w:tc>
          <w:tcPr>
            <w:tcW w:w="444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县级</w:t>
            </w:r>
          </w:p>
        </w:tc>
        <w:tc>
          <w:tcPr>
            <w:tcW w:w="450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45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54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算</w:t>
            </w: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收支总体情况表：（1）部门收支总体情况表。（2）部门收入总体情况表。（3）部门支出总体情况表。</w:t>
            </w:r>
          </w:p>
        </w:tc>
        <w:tc>
          <w:tcPr>
            <w:tcW w:w="100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《中华人民共和国预算法》、《中华人民共和国政府信息公开条例》、《财政部关于印发&lt;地方预决算公开操作规程的通知&gt;》（财预〔2016〕143号）等法律法规和文件规定</w:t>
            </w:r>
          </w:p>
        </w:tc>
        <w:tc>
          <w:tcPr>
            <w:tcW w:w="81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本级政府财政部门批复后20日内</w:t>
            </w:r>
          </w:p>
        </w:tc>
        <w:tc>
          <w:tcPr>
            <w:tcW w:w="792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县级预算部门</w:t>
            </w:r>
          </w:p>
        </w:tc>
        <w:tc>
          <w:tcPr>
            <w:tcW w:w="696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财政部门网站公开平台</w:t>
            </w: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28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564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restart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√</w:t>
            </w:r>
          </w:p>
        </w:tc>
        <w:tc>
          <w:tcPr>
            <w:tcW w:w="450" w:type="dxa"/>
            <w:vMerge w:val="restart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财政拨款收支情况表：（1）财政拨款收支总体情况表。（2）一般公共预算支出情况表。（3）一般公共预算基本支出情况表。（4）一般公共预算“三公”经费支出情况表。（5）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政府性基金预算收支情况表。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445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6996" w:type="dxa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没有数据的表格应当列出空表并说明。</w:t>
            </w:r>
          </w:p>
        </w:tc>
        <w:tc>
          <w:tcPr>
            <w:tcW w:w="100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792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528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564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</w:tbl>
    <w:p>
      <w:pPr>
        <w:rPr>
          <w:rFonts w:hint="eastAsia"/>
          <w:color w:val="auto"/>
          <w:sz w:val="20"/>
          <w:szCs w:val="1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B597A"/>
    <w:rsid w:val="6C8B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2020-09-29T06:42:00Z</dcterms:created>
  <dc:creator>Lucky Q</dc:creator>
  <cp:lastModifiedBy>Lucky Q</cp:lastModifiedBy>
  <dcterms:modified xsi:type="dcterms:W3CDTF">2020-09-29T06:52:16Z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